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10" w:rsidRPr="0039711C" w:rsidRDefault="0039711C" w:rsidP="0039711C">
      <w:pPr>
        <w:jc w:val="center"/>
        <w:rPr>
          <w:sz w:val="96"/>
          <w:szCs w:val="96"/>
        </w:rPr>
      </w:pPr>
      <w:r w:rsidRPr="0039711C">
        <w:rPr>
          <w:sz w:val="96"/>
          <w:szCs w:val="96"/>
        </w:rPr>
        <w:t>St John the Baptist C of E Primary School</w:t>
      </w:r>
    </w:p>
    <w:p w:rsidR="0039711C" w:rsidRDefault="0039711C" w:rsidP="0039711C">
      <w:pPr>
        <w:jc w:val="center"/>
        <w:rPr>
          <w:sz w:val="96"/>
          <w:szCs w:val="96"/>
        </w:rPr>
      </w:pPr>
    </w:p>
    <w:p w:rsidR="0039711C" w:rsidRPr="0039711C" w:rsidRDefault="0039711C" w:rsidP="0039711C">
      <w:pPr>
        <w:jc w:val="center"/>
        <w:rPr>
          <w:sz w:val="96"/>
          <w:szCs w:val="96"/>
        </w:rPr>
      </w:pPr>
      <w:bookmarkStart w:id="0" w:name="_GoBack"/>
      <w:bookmarkEnd w:id="0"/>
    </w:p>
    <w:p w:rsidR="0039711C" w:rsidRPr="0039711C" w:rsidRDefault="0039711C" w:rsidP="0039711C">
      <w:pPr>
        <w:jc w:val="center"/>
        <w:rPr>
          <w:sz w:val="96"/>
          <w:szCs w:val="96"/>
        </w:rPr>
      </w:pPr>
      <w:r w:rsidRPr="0039711C">
        <w:rPr>
          <w:sz w:val="96"/>
          <w:szCs w:val="96"/>
        </w:rPr>
        <w:t>Speaking and Listening Curriculum Map</w:t>
      </w:r>
    </w:p>
    <w:tbl>
      <w:tblPr>
        <w:tblpPr w:leftFromText="180" w:rightFromText="180" w:vertAnchor="text" w:horzAnchor="margin" w:tblpXSpec="center" w:tblpY="-1439"/>
        <w:tblW w:w="162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622"/>
        <w:gridCol w:w="2465"/>
        <w:gridCol w:w="50"/>
        <w:gridCol w:w="2115"/>
        <w:gridCol w:w="60"/>
        <w:gridCol w:w="2103"/>
        <w:gridCol w:w="60"/>
        <w:gridCol w:w="2115"/>
        <w:gridCol w:w="60"/>
        <w:gridCol w:w="2115"/>
        <w:gridCol w:w="60"/>
        <w:gridCol w:w="2115"/>
        <w:gridCol w:w="60"/>
        <w:gridCol w:w="2102"/>
        <w:gridCol w:w="60"/>
      </w:tblGrid>
      <w:tr w:rsidR="00C70FED" w:rsidRPr="009E71FA" w:rsidTr="00C70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496"/>
        </w:trPr>
        <w:tc>
          <w:tcPr>
            <w:tcW w:w="622" w:type="dxa"/>
            <w:vMerge w:val="restart"/>
            <w:tcBorders>
              <w:top w:val="single" w:sz="24" w:space="0" w:color="231F20"/>
              <w:left w:val="single" w:sz="24" w:space="0" w:color="231F20"/>
              <w:bottom w:val="single" w:sz="24" w:space="0" w:color="231F20"/>
              <w:right w:val="single" w:sz="24" w:space="0" w:color="231F20"/>
            </w:tcBorders>
            <w:textDirection w:val="tbRl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9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line="180" w:lineRule="auto"/>
              <w:ind w:left="242" w:right="231" w:firstLine="144"/>
              <w:jc w:val="left"/>
              <w:rPr>
                <w:rFonts w:asciiTheme="minorHAnsi" w:hAnsiTheme="minorHAnsi" w:cstheme="minorHAnsi"/>
                <w:b/>
                <w:bCs/>
                <w:color w:val="292526"/>
                <w:w w:val="95"/>
                <w:sz w:val="18"/>
                <w:szCs w:val="18"/>
              </w:rPr>
            </w:pPr>
            <w:hyperlink r:id="rId6" w:history="1">
              <w:r w:rsidRPr="00766683">
                <w:rPr>
                  <w:rFonts w:asciiTheme="minorHAnsi" w:hAnsiTheme="minorHAnsi" w:cstheme="minorHAnsi"/>
                  <w:b/>
                  <w:bCs/>
                  <w:color w:val="292526"/>
                  <w:sz w:val="18"/>
                  <w:szCs w:val="18"/>
                </w:rPr>
                <w:t xml:space="preserve">Spoken </w:t>
              </w:r>
              <w:r w:rsidRPr="00766683">
                <w:rPr>
                  <w:rFonts w:asciiTheme="minorHAnsi" w:hAnsiTheme="minorHAnsi" w:cstheme="minorHAnsi"/>
                  <w:b/>
                  <w:bCs/>
                  <w:color w:val="292526"/>
                  <w:w w:val="95"/>
                  <w:sz w:val="18"/>
                  <w:szCs w:val="18"/>
                </w:rPr>
                <w:t>Language*</w:t>
              </w:r>
            </w:hyperlink>
          </w:p>
        </w:tc>
        <w:tc>
          <w:tcPr>
            <w:tcW w:w="2515" w:type="dxa"/>
            <w:gridSpan w:val="2"/>
            <w:tcBorders>
              <w:top w:val="single" w:sz="24" w:space="0" w:color="231F20"/>
              <w:left w:val="single" w:sz="24" w:space="0" w:color="231F20"/>
              <w:bottom w:val="single" w:sz="18" w:space="0" w:color="231F20"/>
              <w:right w:val="single" w:sz="24" w:space="0" w:color="231F20"/>
            </w:tcBorders>
            <w:shd w:val="clear" w:color="auto" w:fill="99FF66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91" w:line="180" w:lineRule="auto"/>
              <w:ind w:left="837" w:right="21" w:hanging="658"/>
              <w:jc w:val="left"/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  <w:t xml:space="preserve">EYFS (30 - 50mths </w:t>
            </w:r>
            <w:r w:rsidRPr="00766683">
              <w:rPr>
                <w:rFonts w:asciiTheme="minorHAnsi" w:hAnsiTheme="minorHAnsi" w:cstheme="minorHAnsi"/>
                <w:b/>
                <w:bCs/>
                <w:color w:val="292526"/>
                <w:spacing w:val="-8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  <w:t>ELGs)</w:t>
            </w:r>
          </w:p>
        </w:tc>
        <w:tc>
          <w:tcPr>
            <w:tcW w:w="4338" w:type="dxa"/>
            <w:gridSpan w:val="4"/>
            <w:tcBorders>
              <w:top w:val="single" w:sz="24" w:space="0" w:color="231F20"/>
              <w:left w:val="single" w:sz="24" w:space="0" w:color="231F20"/>
              <w:bottom w:val="single" w:sz="18" w:space="0" w:color="231F20"/>
              <w:right w:val="single" w:sz="18" w:space="0" w:color="231F20"/>
            </w:tcBorders>
            <w:shd w:val="clear" w:color="auto" w:fill="66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87"/>
              <w:ind w:left="1898" w:right="1849"/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  <w:t>KS1</w:t>
            </w:r>
          </w:p>
        </w:tc>
        <w:tc>
          <w:tcPr>
            <w:tcW w:w="8687" w:type="dxa"/>
            <w:gridSpan w:val="8"/>
            <w:tcBorders>
              <w:top w:val="single" w:sz="24" w:space="0" w:color="231F20"/>
              <w:left w:val="single" w:sz="18" w:space="0" w:color="231F20"/>
              <w:bottom w:val="single" w:sz="18" w:space="0" w:color="231F20"/>
              <w:right w:val="single" w:sz="24" w:space="0" w:color="231F20"/>
            </w:tcBorders>
            <w:shd w:val="clear" w:color="auto" w:fill="FF66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87"/>
              <w:ind w:left="4078" w:right="4018"/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  <w:t>KS2</w:t>
            </w:r>
          </w:p>
        </w:tc>
      </w:tr>
      <w:tr w:rsidR="00C70FED" w:rsidRPr="009E71FA" w:rsidTr="00C70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863"/>
        </w:trPr>
        <w:tc>
          <w:tcPr>
            <w:tcW w:w="622" w:type="dxa"/>
            <w:vMerge/>
            <w:tcBorders>
              <w:top w:val="nil"/>
              <w:left w:val="single" w:sz="24" w:space="0" w:color="231F20"/>
              <w:bottom w:val="single" w:sz="24" w:space="0" w:color="231F20"/>
              <w:right w:val="single" w:sz="24" w:space="0" w:color="231F20"/>
            </w:tcBorders>
            <w:textDirection w:val="tbRl"/>
          </w:tcPr>
          <w:p w:rsidR="00766683" w:rsidRPr="00766683" w:rsidRDefault="00766683" w:rsidP="00766683">
            <w:pPr>
              <w:pStyle w:val="BodyText"/>
              <w:kinsoku w:val="0"/>
              <w:overflowPunct w:val="0"/>
              <w:spacing w:before="8" w:after="1"/>
              <w:rPr>
                <w:rFonts w:asciiTheme="minorHAnsi" w:hAnsiTheme="minorHAnsi" w:cstheme="minorHAnsi"/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2515" w:type="dxa"/>
            <w:gridSpan w:val="2"/>
            <w:tcBorders>
              <w:top w:val="single" w:sz="18" w:space="0" w:color="231F20"/>
              <w:left w:val="single" w:sz="24" w:space="0" w:color="231F20"/>
              <w:bottom w:val="single" w:sz="24" w:space="0" w:color="231F20"/>
              <w:right w:val="single" w:sz="24" w:space="0" w:color="231F20"/>
            </w:tcBorders>
            <w:shd w:val="clear" w:color="auto" w:fill="99FF66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1"/>
              <w:ind w:left="414"/>
              <w:jc w:val="left"/>
              <w:rPr>
                <w:rFonts w:asciiTheme="minorHAnsi" w:hAnsiTheme="minorHAnsi" w:cstheme="minorHAnsi"/>
                <w:b/>
                <w:bCs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b/>
                <w:bCs/>
                <w:color w:val="F6862A"/>
                <w:sz w:val="18"/>
                <w:szCs w:val="18"/>
              </w:rPr>
              <w:t>30 – 50 months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" w:line="260" w:lineRule="atLeast"/>
              <w:ind w:left="209" w:right="132" w:firstLine="204"/>
              <w:jc w:val="left"/>
              <w:rPr>
                <w:rFonts w:asciiTheme="minorHAnsi" w:hAnsiTheme="minorHAnsi" w:cstheme="minorHAnsi"/>
                <w:b/>
                <w:bCs/>
                <w:color w:val="00A650"/>
                <w:w w:val="9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b/>
                <w:bCs/>
                <w:color w:val="00689E"/>
                <w:sz w:val="18"/>
                <w:szCs w:val="18"/>
              </w:rPr>
              <w:t>40 – 60 months</w:t>
            </w:r>
            <w:r w:rsidRPr="00766683">
              <w:rPr>
                <w:rFonts w:asciiTheme="minorHAnsi" w:hAnsiTheme="minorHAnsi" w:cstheme="minorHAnsi"/>
                <w:b/>
                <w:bCs/>
                <w:color w:val="00A650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b/>
                <w:bCs/>
                <w:color w:val="00A650"/>
                <w:w w:val="95"/>
                <w:sz w:val="18"/>
                <w:szCs w:val="18"/>
              </w:rPr>
              <w:t>Early Learning Goals</w:t>
            </w:r>
          </w:p>
        </w:tc>
        <w:tc>
          <w:tcPr>
            <w:tcW w:w="2175" w:type="dxa"/>
            <w:gridSpan w:val="2"/>
            <w:tcBorders>
              <w:top w:val="single" w:sz="18" w:space="0" w:color="231F20"/>
              <w:left w:val="single" w:sz="24" w:space="0" w:color="231F20"/>
              <w:bottom w:val="single" w:sz="24" w:space="0" w:color="231F20"/>
              <w:right w:val="single" w:sz="8" w:space="0" w:color="231F20"/>
            </w:tcBorders>
            <w:shd w:val="clear" w:color="auto" w:fill="66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ind w:left="68" w:right="31"/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  <w:t>Year 1</w:t>
            </w:r>
          </w:p>
        </w:tc>
        <w:tc>
          <w:tcPr>
            <w:tcW w:w="2163" w:type="dxa"/>
            <w:gridSpan w:val="2"/>
            <w:tcBorders>
              <w:top w:val="single" w:sz="18" w:space="0" w:color="231F20"/>
              <w:left w:val="single" w:sz="8" w:space="0" w:color="231F20"/>
              <w:bottom w:val="single" w:sz="24" w:space="0" w:color="231F20"/>
              <w:right w:val="single" w:sz="18" w:space="0" w:color="231F20"/>
            </w:tcBorders>
            <w:shd w:val="clear" w:color="auto" w:fill="66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ind w:left="784" w:right="715"/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  <w:t>Year 2</w:t>
            </w:r>
          </w:p>
        </w:tc>
        <w:tc>
          <w:tcPr>
            <w:tcW w:w="2175" w:type="dxa"/>
            <w:gridSpan w:val="2"/>
            <w:tcBorders>
              <w:top w:val="single" w:sz="18" w:space="0" w:color="231F20"/>
              <w:left w:val="single" w:sz="18" w:space="0" w:color="231F20"/>
              <w:bottom w:val="single" w:sz="24" w:space="0" w:color="231F20"/>
              <w:right w:val="single" w:sz="8" w:space="0" w:color="231F20"/>
            </w:tcBorders>
            <w:shd w:val="clear" w:color="auto" w:fill="FF66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ind w:left="770" w:right="728"/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  <w:t>Year 3</w:t>
            </w:r>
          </w:p>
        </w:tc>
        <w:tc>
          <w:tcPr>
            <w:tcW w:w="2175" w:type="dxa"/>
            <w:gridSpan w:val="2"/>
            <w:tcBorders>
              <w:top w:val="single" w:sz="18" w:space="0" w:color="231F20"/>
              <w:left w:val="single" w:sz="8" w:space="0" w:color="231F20"/>
              <w:bottom w:val="single" w:sz="24" w:space="0" w:color="231F20"/>
              <w:right w:val="single" w:sz="8" w:space="0" w:color="231F20"/>
            </w:tcBorders>
            <w:shd w:val="clear" w:color="auto" w:fill="FF66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ind w:left="151" w:right="98"/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  <w:t>Year 4</w:t>
            </w:r>
          </w:p>
        </w:tc>
        <w:tc>
          <w:tcPr>
            <w:tcW w:w="2175" w:type="dxa"/>
            <w:gridSpan w:val="2"/>
            <w:tcBorders>
              <w:top w:val="single" w:sz="18" w:space="0" w:color="231F20"/>
              <w:left w:val="single" w:sz="8" w:space="0" w:color="231F20"/>
              <w:bottom w:val="single" w:sz="24" w:space="0" w:color="231F20"/>
              <w:right w:val="single" w:sz="8" w:space="0" w:color="231F20"/>
            </w:tcBorders>
            <w:shd w:val="clear" w:color="auto" w:fill="FF66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ind w:left="150" w:right="98"/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  <w:t>Year 5</w:t>
            </w:r>
          </w:p>
        </w:tc>
        <w:tc>
          <w:tcPr>
            <w:tcW w:w="2162" w:type="dxa"/>
            <w:gridSpan w:val="2"/>
            <w:tcBorders>
              <w:top w:val="single" w:sz="18" w:space="0" w:color="231F20"/>
              <w:left w:val="single" w:sz="8" w:space="0" w:color="231F20"/>
              <w:bottom w:val="single" w:sz="24" w:space="0" w:color="231F20"/>
              <w:right w:val="single" w:sz="24" w:space="0" w:color="231F20"/>
            </w:tcBorders>
            <w:shd w:val="clear" w:color="auto" w:fill="FF66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ind w:left="102" w:right="31"/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  <w:t>Year 6</w:t>
            </w:r>
          </w:p>
        </w:tc>
      </w:tr>
      <w:tr w:rsidR="00C70FED" w:rsidRPr="009E71FA" w:rsidTr="00C70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7401"/>
        </w:trPr>
        <w:tc>
          <w:tcPr>
            <w:tcW w:w="622" w:type="dxa"/>
            <w:tcBorders>
              <w:top w:val="single" w:sz="24" w:space="0" w:color="231F20"/>
              <w:left w:val="single" w:sz="24" w:space="0" w:color="231F20"/>
              <w:bottom w:val="single" w:sz="24" w:space="0" w:color="231F20"/>
              <w:right w:val="single" w:sz="24" w:space="0" w:color="231F20"/>
            </w:tcBorders>
            <w:shd w:val="clear" w:color="auto" w:fill="7CC3E2"/>
            <w:textDirection w:val="tbRl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ind w:left="2797" w:right="2822"/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</w:pPr>
            <w:hyperlink r:id="rId7" w:history="1">
              <w:r w:rsidRPr="00766683">
                <w:rPr>
                  <w:rFonts w:asciiTheme="minorHAnsi" w:hAnsiTheme="minorHAnsi" w:cstheme="minorHAnsi"/>
                  <w:b/>
                  <w:bCs/>
                  <w:color w:val="292526"/>
                  <w:sz w:val="18"/>
                  <w:szCs w:val="18"/>
                </w:rPr>
                <w:t>Listening Skills</w:t>
              </w:r>
            </w:hyperlink>
          </w:p>
        </w:tc>
        <w:tc>
          <w:tcPr>
            <w:tcW w:w="2515" w:type="dxa"/>
            <w:gridSpan w:val="2"/>
            <w:tcBorders>
              <w:top w:val="single" w:sz="24" w:space="0" w:color="231F20"/>
              <w:left w:val="single" w:sz="24" w:space="0" w:color="231F20"/>
              <w:bottom w:val="single" w:sz="24" w:space="0" w:color="231F20"/>
              <w:right w:val="single" w:sz="24" w:space="0" w:color="231F20"/>
            </w:tcBorders>
            <w:shd w:val="clear" w:color="auto" w:fill="99FF66"/>
          </w:tcPr>
          <w:p w:rsidR="00766683" w:rsidRPr="00766683" w:rsidRDefault="00766683" w:rsidP="00766683">
            <w:pPr>
              <w:pStyle w:val="AdultBodyCopyAdultInformation"/>
              <w:spacing w:line="22" w:lineRule="atLeast"/>
              <w:ind w:right="57"/>
              <w:rPr>
                <w:rFonts w:asciiTheme="minorHAnsi" w:hAnsiTheme="minorHAnsi" w:cstheme="minorHAnsi"/>
                <w:color w:val="F08119"/>
                <w:spacing w:val="-2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08119"/>
                <w:spacing w:val="-2"/>
                <w:sz w:val="18"/>
                <w:szCs w:val="18"/>
              </w:rPr>
              <w:t>To listen to others one to one or in small groups, when a conversation interests them.</w:t>
            </w:r>
          </w:p>
          <w:p w:rsidR="00766683" w:rsidRPr="00766683" w:rsidRDefault="00766683" w:rsidP="00766683">
            <w:pPr>
              <w:pStyle w:val="AdultBodyCopyAdultInformation"/>
              <w:spacing w:line="22" w:lineRule="atLeast"/>
              <w:ind w:left="57" w:right="57"/>
              <w:jc w:val="center"/>
              <w:rPr>
                <w:rFonts w:asciiTheme="minorHAnsi" w:hAnsiTheme="minorHAnsi" w:cstheme="minorHAnsi"/>
                <w:color w:val="F08119"/>
                <w:spacing w:val="-2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08119"/>
                <w:spacing w:val="-2"/>
                <w:sz w:val="18"/>
                <w:szCs w:val="18"/>
              </w:rPr>
              <w:t>To focus attention – still listen or do, but can shift own attention.</w:t>
            </w:r>
          </w:p>
          <w:p w:rsidR="00766683" w:rsidRPr="00766683" w:rsidRDefault="00766683" w:rsidP="00766683">
            <w:pPr>
              <w:pStyle w:val="AdultBodyCopyAdultInformation"/>
              <w:spacing w:line="22" w:lineRule="atLeast"/>
              <w:ind w:left="57" w:right="57"/>
              <w:jc w:val="center"/>
              <w:rPr>
                <w:rFonts w:asciiTheme="minorHAnsi" w:hAnsiTheme="minorHAnsi" w:cstheme="minorHAnsi"/>
                <w:color w:val="F08119"/>
                <w:spacing w:val="-2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08119"/>
                <w:spacing w:val="-2"/>
                <w:sz w:val="18"/>
                <w:szCs w:val="18"/>
              </w:rPr>
              <w:t>To be able to follow directions (if not intently focused on own choice of activity).</w:t>
            </w:r>
          </w:p>
          <w:p w:rsidR="00766683" w:rsidRPr="00766683" w:rsidRDefault="00766683" w:rsidP="00766683">
            <w:pPr>
              <w:pStyle w:val="AdultBodyCopyAdultInformation"/>
              <w:spacing w:line="22" w:lineRule="atLeast"/>
              <w:ind w:left="57" w:right="57"/>
              <w:jc w:val="center"/>
              <w:rPr>
                <w:rFonts w:asciiTheme="minorHAnsi" w:hAnsiTheme="minorHAnsi" w:cstheme="minorHAnsi"/>
                <w:color w:val="00649B"/>
                <w:spacing w:val="-2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00649B"/>
                <w:spacing w:val="-2"/>
                <w:sz w:val="18"/>
                <w:szCs w:val="18"/>
              </w:rPr>
              <w:t>To maintain attention, concentrate and sit quietly during appropriate activity.</w:t>
            </w:r>
          </w:p>
          <w:p w:rsidR="00766683" w:rsidRPr="00766683" w:rsidRDefault="00766683" w:rsidP="00766683">
            <w:pPr>
              <w:pStyle w:val="AdultBodyCopyAdultInformation"/>
              <w:spacing w:line="22" w:lineRule="atLeast"/>
              <w:ind w:left="57" w:right="57"/>
              <w:jc w:val="center"/>
              <w:rPr>
                <w:rFonts w:asciiTheme="minorHAnsi" w:hAnsiTheme="minorHAnsi" w:cstheme="minorHAnsi"/>
                <w:color w:val="00649B"/>
                <w:spacing w:val="-2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00649B"/>
                <w:spacing w:val="-2"/>
                <w:sz w:val="18"/>
                <w:szCs w:val="18"/>
              </w:rPr>
              <w:t>To have two-channelled attention – can listen and do for short span.</w:t>
            </w:r>
          </w:p>
          <w:p w:rsidR="00766683" w:rsidRPr="00766683" w:rsidRDefault="00766683" w:rsidP="00766683">
            <w:pPr>
              <w:pStyle w:val="AdultBodyCopyAdultInformation"/>
              <w:spacing w:line="22" w:lineRule="atLeast"/>
              <w:ind w:left="57" w:right="57"/>
              <w:jc w:val="center"/>
              <w:rPr>
                <w:rFonts w:asciiTheme="minorHAnsi" w:hAnsiTheme="minorHAnsi" w:cstheme="minorHAnsi"/>
                <w:color w:val="00649B"/>
                <w:spacing w:val="-2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00649B"/>
                <w:spacing w:val="-2"/>
                <w:sz w:val="18"/>
                <w:szCs w:val="18"/>
              </w:rPr>
              <w:t>To understand humour, e.g. nonsense rhymes, jokes.</w:t>
            </w:r>
          </w:p>
          <w:p w:rsidR="00766683" w:rsidRPr="00766683" w:rsidRDefault="00766683" w:rsidP="00766683">
            <w:pPr>
              <w:pStyle w:val="AdultBodyCopyAdultInformation"/>
              <w:spacing w:line="22" w:lineRule="atLeast"/>
              <w:ind w:left="57" w:right="57"/>
              <w:jc w:val="center"/>
              <w:rPr>
                <w:rFonts w:asciiTheme="minorHAnsi" w:hAnsiTheme="minorHAnsi" w:cstheme="minorHAnsi"/>
                <w:color w:val="00649B"/>
                <w:spacing w:val="-2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00649B"/>
                <w:spacing w:val="-2"/>
                <w:sz w:val="18"/>
                <w:szCs w:val="18"/>
              </w:rPr>
              <w:t>To follow a story without pictures or props.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line="22" w:lineRule="atLeast"/>
              <w:ind w:left="57" w:right="57"/>
              <w:rPr>
                <w:rFonts w:asciiTheme="minorHAnsi" w:hAnsiTheme="minorHAnsi" w:cstheme="minorHAnsi"/>
                <w:color w:val="009640"/>
                <w:spacing w:val="-2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009640"/>
                <w:spacing w:val="-2"/>
                <w:sz w:val="18"/>
                <w:szCs w:val="18"/>
              </w:rPr>
              <w:t>To listen attentively in a range of situations.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line="22" w:lineRule="atLeast"/>
              <w:ind w:left="57" w:right="57"/>
              <w:rPr>
                <w:rFonts w:asciiTheme="minorHAnsi" w:hAnsiTheme="minorHAnsi" w:cstheme="minorHAnsi"/>
                <w:color w:val="00A650"/>
                <w:spacing w:val="-5"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line="22" w:lineRule="atLeast"/>
              <w:ind w:left="57" w:right="57"/>
              <w:rPr>
                <w:rFonts w:asciiTheme="minorHAnsi" w:hAnsiTheme="minorHAnsi" w:cstheme="minorHAnsi"/>
                <w:color w:val="00A650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00A650"/>
                <w:spacing w:val="-5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color w:val="00A650"/>
                <w:sz w:val="18"/>
                <w:szCs w:val="18"/>
              </w:rPr>
              <w:t xml:space="preserve">give their attention to what others say </w:t>
            </w:r>
            <w:r w:rsidRPr="00766683">
              <w:rPr>
                <w:rFonts w:asciiTheme="minorHAnsi" w:hAnsiTheme="minorHAnsi" w:cstheme="minorHAnsi"/>
                <w:color w:val="00A650"/>
                <w:spacing w:val="-2"/>
                <w:sz w:val="18"/>
                <w:szCs w:val="18"/>
              </w:rPr>
              <w:t xml:space="preserve">and respond </w:t>
            </w:r>
            <w:r w:rsidRPr="00766683">
              <w:rPr>
                <w:rFonts w:asciiTheme="minorHAnsi" w:hAnsiTheme="minorHAnsi" w:cstheme="minorHAnsi"/>
                <w:color w:val="00A650"/>
                <w:spacing w:val="-3"/>
                <w:sz w:val="18"/>
                <w:szCs w:val="18"/>
              </w:rPr>
              <w:t>appropriately,</w:t>
            </w:r>
          </w:p>
        </w:tc>
        <w:tc>
          <w:tcPr>
            <w:tcW w:w="2175" w:type="dxa"/>
            <w:gridSpan w:val="2"/>
            <w:tcBorders>
              <w:top w:val="single" w:sz="24" w:space="0" w:color="231F20"/>
              <w:left w:val="single" w:sz="24" w:space="0" w:color="231F20"/>
              <w:bottom w:val="single" w:sz="24" w:space="0" w:color="231F20"/>
              <w:right w:val="single" w:sz="8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7" w:line="245" w:lineRule="auto"/>
              <w:ind w:left="57" w:right="57"/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6"/>
                <w:sz w:val="18"/>
                <w:szCs w:val="18"/>
              </w:rPr>
              <w:t>To</w:t>
            </w:r>
            <w:r w:rsidRPr="00766683">
              <w:rPr>
                <w:rFonts w:asciiTheme="minorHAnsi" w:hAnsiTheme="minorHAnsi" w:cstheme="minorHAnsi"/>
                <w:color w:val="292526"/>
                <w:spacing w:val="-11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listen</w:t>
            </w:r>
            <w:r w:rsidRPr="00766683">
              <w:rPr>
                <w:rFonts w:asciiTheme="minorHAnsi" w:hAnsiTheme="minorHAnsi" w:cstheme="minorHAnsi"/>
                <w:color w:val="292526"/>
                <w:spacing w:val="-10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</w:t>
            </w:r>
            <w:r w:rsidRPr="00766683">
              <w:rPr>
                <w:rFonts w:asciiTheme="minorHAnsi" w:hAnsiTheme="minorHAnsi" w:cstheme="minorHAnsi"/>
                <w:color w:val="292526"/>
                <w:spacing w:val="-10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others</w:t>
            </w:r>
            <w:r w:rsidRPr="00766683">
              <w:rPr>
                <w:rFonts w:asciiTheme="minorHAnsi" w:hAnsiTheme="minorHAnsi" w:cstheme="minorHAnsi"/>
                <w:color w:val="292526"/>
                <w:spacing w:val="-11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in a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 xml:space="preserve">range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of </w:t>
            </w:r>
            <w:r w:rsidRPr="00766683">
              <w:rPr>
                <w:rFonts w:asciiTheme="minorHAnsi" w:hAnsiTheme="minorHAnsi" w:cstheme="minorHAnsi"/>
                <w:color w:val="292526"/>
                <w:spacing w:val="-4"/>
                <w:sz w:val="18"/>
                <w:szCs w:val="18"/>
              </w:rPr>
              <w:t xml:space="preserve">situations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and usually</w:t>
            </w:r>
            <w:r w:rsidRPr="00766683">
              <w:rPr>
                <w:rFonts w:asciiTheme="minorHAnsi" w:hAnsiTheme="minorHAnsi" w:cstheme="minorHAnsi"/>
                <w:color w:val="292526"/>
                <w:spacing w:val="-17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>respond appropriately.</w:t>
            </w:r>
          </w:p>
        </w:tc>
        <w:tc>
          <w:tcPr>
            <w:tcW w:w="2163" w:type="dxa"/>
            <w:gridSpan w:val="2"/>
            <w:tcBorders>
              <w:top w:val="single" w:sz="24" w:space="0" w:color="231F20"/>
              <w:left w:val="single" w:sz="8" w:space="0" w:color="231F20"/>
              <w:bottom w:val="single" w:sz="24" w:space="0" w:color="231F20"/>
              <w:right w:val="single" w:sz="24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7" w:line="259" w:lineRule="auto"/>
              <w:ind w:left="57" w:right="57"/>
              <w:rPr>
                <w:rFonts w:asciiTheme="minorHAnsi" w:hAnsiTheme="minorHAnsi" w:cstheme="minorHAnsi"/>
                <w:color w:val="292526"/>
                <w:spacing w:val="-3"/>
                <w:w w:val="10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6"/>
                <w:w w:val="105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color w:val="292526"/>
                <w:w w:val="105"/>
                <w:sz w:val="18"/>
                <w:szCs w:val="18"/>
              </w:rPr>
              <w:t xml:space="preserve">listen carefully </w:t>
            </w:r>
            <w:r w:rsidRPr="00766683">
              <w:rPr>
                <w:rFonts w:asciiTheme="minorHAnsi" w:hAnsiTheme="minorHAnsi" w:cstheme="minorHAnsi"/>
                <w:color w:val="292526"/>
                <w:spacing w:val="-2"/>
                <w:w w:val="105"/>
                <w:sz w:val="18"/>
                <w:szCs w:val="18"/>
              </w:rPr>
              <w:t xml:space="preserve">and </w:t>
            </w:r>
            <w:r w:rsidRPr="00766683">
              <w:rPr>
                <w:rFonts w:asciiTheme="minorHAnsi" w:hAnsiTheme="minorHAnsi" w:cstheme="minorHAnsi"/>
                <w:color w:val="292526"/>
                <w:w w:val="105"/>
                <w:sz w:val="18"/>
                <w:szCs w:val="18"/>
              </w:rPr>
              <w:t xml:space="preserve">respond with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w w:val="105"/>
                <w:sz w:val="18"/>
                <w:szCs w:val="18"/>
              </w:rPr>
              <w:t xml:space="preserve">increasing </w:t>
            </w:r>
            <w:r w:rsidRPr="00766683">
              <w:rPr>
                <w:rFonts w:asciiTheme="minorHAnsi" w:hAnsiTheme="minorHAnsi" w:cstheme="minorHAnsi"/>
                <w:color w:val="292526"/>
                <w:w w:val="105"/>
                <w:sz w:val="18"/>
                <w:szCs w:val="18"/>
              </w:rPr>
              <w:t>appropriateness to</w:t>
            </w:r>
            <w:r w:rsidRPr="00766683">
              <w:rPr>
                <w:rFonts w:asciiTheme="minorHAnsi" w:hAnsiTheme="minorHAnsi" w:cstheme="minorHAnsi"/>
                <w:color w:val="292526"/>
                <w:spacing w:val="-31"/>
                <w:w w:val="105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w w:val="105"/>
                <w:sz w:val="18"/>
                <w:szCs w:val="18"/>
              </w:rPr>
              <w:t>what has been said, e.g.</w:t>
            </w:r>
            <w:r w:rsidRPr="00766683">
              <w:rPr>
                <w:rFonts w:asciiTheme="minorHAnsi" w:hAnsiTheme="minorHAnsi" w:cstheme="minorHAnsi"/>
                <w:color w:val="292526"/>
                <w:spacing w:val="-23"/>
                <w:w w:val="105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pacing w:val="-5"/>
                <w:w w:val="105"/>
                <w:sz w:val="18"/>
                <w:szCs w:val="18"/>
              </w:rPr>
              <w:t xml:space="preserve">make </w:t>
            </w:r>
            <w:r w:rsidRPr="00766683">
              <w:rPr>
                <w:rFonts w:asciiTheme="minorHAnsi" w:hAnsiTheme="minorHAnsi" w:cstheme="minorHAnsi"/>
                <w:color w:val="292526"/>
                <w:w w:val="105"/>
                <w:sz w:val="18"/>
                <w:szCs w:val="18"/>
              </w:rPr>
              <w:t xml:space="preserve">a helpful </w:t>
            </w:r>
            <w:r w:rsidRPr="00766683">
              <w:rPr>
                <w:rFonts w:asciiTheme="minorHAnsi" w:hAnsiTheme="minorHAnsi" w:cstheme="minorHAnsi"/>
                <w:color w:val="292526"/>
                <w:spacing w:val="-2"/>
                <w:w w:val="105"/>
                <w:sz w:val="18"/>
                <w:szCs w:val="18"/>
              </w:rPr>
              <w:t xml:space="preserve">contribution </w:t>
            </w:r>
            <w:r w:rsidRPr="00766683">
              <w:rPr>
                <w:rFonts w:asciiTheme="minorHAnsi" w:hAnsiTheme="minorHAnsi" w:cstheme="minorHAnsi"/>
                <w:color w:val="292526"/>
                <w:w w:val="105"/>
                <w:sz w:val="18"/>
                <w:szCs w:val="18"/>
              </w:rPr>
              <w:t>when speaking in a small reading</w:t>
            </w:r>
            <w:r w:rsidRPr="00766683">
              <w:rPr>
                <w:rFonts w:asciiTheme="minorHAnsi" w:hAnsiTheme="minorHAnsi" w:cstheme="minorHAnsi"/>
                <w:color w:val="292526"/>
                <w:spacing w:val="-8"/>
                <w:w w:val="105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w w:val="105"/>
                <w:sz w:val="18"/>
                <w:szCs w:val="18"/>
              </w:rPr>
              <w:t>group.</w:t>
            </w:r>
          </w:p>
        </w:tc>
        <w:tc>
          <w:tcPr>
            <w:tcW w:w="2175" w:type="dxa"/>
            <w:gridSpan w:val="2"/>
            <w:tcBorders>
              <w:top w:val="single" w:sz="24" w:space="0" w:color="231F20"/>
              <w:left w:val="single" w:sz="24" w:space="0" w:color="231F20"/>
              <w:bottom w:val="single" w:sz="24" w:space="0" w:color="231F20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7" w:line="245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listen carefully in a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 xml:space="preserve">range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of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 xml:space="preserve">different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contexts and usually respond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 xml:space="preserve">appropriately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</w:t>
            </w:r>
            <w:r w:rsidRPr="00766683">
              <w:rPr>
                <w:rFonts w:asciiTheme="minorHAnsi" w:hAnsiTheme="minorHAnsi" w:cstheme="minorHAnsi"/>
                <w:color w:val="292526"/>
                <w:spacing w:val="-29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both</w:t>
            </w:r>
            <w:r w:rsidRPr="00766683">
              <w:rPr>
                <w:rFonts w:asciiTheme="minorHAnsi" w:hAnsiTheme="minorHAnsi" w:cstheme="minorHAnsi"/>
                <w:color w:val="292526"/>
                <w:spacing w:val="-29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adults</w:t>
            </w:r>
            <w:r w:rsidRPr="00766683">
              <w:rPr>
                <w:rFonts w:asciiTheme="minorHAnsi" w:hAnsiTheme="minorHAnsi" w:cstheme="minorHAnsi"/>
                <w:color w:val="292526"/>
                <w:spacing w:val="-29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and</w:t>
            </w:r>
            <w:r w:rsidRPr="00766683">
              <w:rPr>
                <w:rFonts w:asciiTheme="minorHAnsi" w:hAnsiTheme="minorHAnsi" w:cstheme="minorHAnsi"/>
                <w:color w:val="292526"/>
                <w:spacing w:val="-29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 xml:space="preserve">their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peers.</w:t>
            </w:r>
          </w:p>
        </w:tc>
        <w:tc>
          <w:tcPr>
            <w:tcW w:w="2175" w:type="dxa"/>
            <w:gridSpan w:val="2"/>
            <w:tcBorders>
              <w:top w:val="single" w:sz="24" w:space="0" w:color="231F20"/>
              <w:left w:val="single" w:sz="8" w:space="0" w:color="231F20"/>
              <w:bottom w:val="single" w:sz="24" w:space="0" w:color="231F20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7" w:line="266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listen carefully in a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 xml:space="preserve">range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of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 xml:space="preserve">different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contexts and usually respond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 xml:space="preserve">appropriately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</w:t>
            </w:r>
            <w:r w:rsidRPr="00766683">
              <w:rPr>
                <w:rFonts w:asciiTheme="minorHAnsi" w:hAnsiTheme="minorHAnsi" w:cstheme="minorHAnsi"/>
                <w:color w:val="292526"/>
                <w:spacing w:val="-29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both</w:t>
            </w:r>
            <w:r w:rsidRPr="00766683">
              <w:rPr>
                <w:rFonts w:asciiTheme="minorHAnsi" w:hAnsiTheme="minorHAnsi" w:cstheme="minorHAnsi"/>
                <w:color w:val="292526"/>
                <w:spacing w:val="-29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adults</w:t>
            </w:r>
            <w:r w:rsidRPr="00766683">
              <w:rPr>
                <w:rFonts w:asciiTheme="minorHAnsi" w:hAnsiTheme="minorHAnsi" w:cstheme="minorHAnsi"/>
                <w:color w:val="292526"/>
                <w:spacing w:val="-29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and</w:t>
            </w:r>
            <w:r w:rsidRPr="00766683">
              <w:rPr>
                <w:rFonts w:asciiTheme="minorHAnsi" w:hAnsiTheme="minorHAnsi" w:cstheme="minorHAnsi"/>
                <w:color w:val="292526"/>
                <w:spacing w:val="-29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 xml:space="preserve">their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peers.</w:t>
            </w:r>
          </w:p>
        </w:tc>
        <w:tc>
          <w:tcPr>
            <w:tcW w:w="2175" w:type="dxa"/>
            <w:gridSpan w:val="2"/>
            <w:tcBorders>
              <w:top w:val="single" w:sz="24" w:space="0" w:color="231F20"/>
              <w:left w:val="single" w:sz="8" w:space="0" w:color="231F20"/>
              <w:bottom w:val="single" w:sz="24" w:space="0" w:color="231F20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7" w:line="266" w:lineRule="auto"/>
              <w:ind w:left="113" w:right="113"/>
              <w:rPr>
                <w:rFonts w:asciiTheme="minorHAnsi" w:hAnsiTheme="minorHAnsi" w:cstheme="minorHAnsi"/>
                <w:color w:val="292526"/>
                <w:spacing w:val="-4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listen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 xml:space="preserve">carefully,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making </w:t>
            </w:r>
            <w:r w:rsidRPr="00766683">
              <w:rPr>
                <w:rFonts w:asciiTheme="minorHAnsi" w:hAnsiTheme="minorHAnsi" w:cstheme="minorHAnsi"/>
                <w:color w:val="292526"/>
                <w:spacing w:val="-2"/>
                <w:sz w:val="18"/>
                <w:szCs w:val="18"/>
              </w:rPr>
              <w:t xml:space="preserve">timely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contributions </w:t>
            </w:r>
            <w:r w:rsidRPr="00766683">
              <w:rPr>
                <w:rFonts w:asciiTheme="minorHAnsi" w:hAnsiTheme="minorHAnsi" w:cstheme="minorHAnsi"/>
                <w:color w:val="292526"/>
                <w:spacing w:val="-2"/>
                <w:sz w:val="18"/>
                <w:szCs w:val="18"/>
              </w:rPr>
              <w:t xml:space="preserve">and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asking questions that </w:t>
            </w:r>
            <w:r w:rsidRPr="00766683">
              <w:rPr>
                <w:rFonts w:asciiTheme="minorHAnsi" w:hAnsiTheme="minorHAnsi" w:cstheme="minorHAnsi"/>
                <w:color w:val="292526"/>
                <w:spacing w:val="-2"/>
                <w:sz w:val="18"/>
                <w:szCs w:val="18"/>
              </w:rPr>
              <w:t xml:space="preserve">are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 xml:space="preserve">responsive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others’</w:t>
            </w:r>
            <w:r w:rsidRPr="00766683">
              <w:rPr>
                <w:rFonts w:asciiTheme="minorHAnsi" w:hAnsiTheme="minorHAnsi" w:cstheme="minorHAnsi"/>
                <w:color w:val="292526"/>
                <w:spacing w:val="-25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ideas</w:t>
            </w:r>
            <w:r w:rsidRPr="00766683">
              <w:rPr>
                <w:rFonts w:asciiTheme="minorHAnsi" w:hAnsiTheme="minorHAnsi" w:cstheme="minorHAnsi"/>
                <w:color w:val="292526"/>
                <w:spacing w:val="-25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and</w:t>
            </w:r>
            <w:r w:rsidRPr="00766683">
              <w:rPr>
                <w:rFonts w:asciiTheme="minorHAnsi" w:hAnsiTheme="minorHAnsi" w:cstheme="minorHAnsi"/>
                <w:color w:val="292526"/>
                <w:spacing w:val="-24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pacing w:val="-4"/>
                <w:sz w:val="18"/>
                <w:szCs w:val="18"/>
              </w:rPr>
              <w:t xml:space="preserve">views,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e.g. participate in a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 xml:space="preserve">collaborative project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where they listen to the</w:t>
            </w:r>
            <w:r w:rsidRPr="00766683">
              <w:rPr>
                <w:rFonts w:asciiTheme="minorHAnsi" w:hAnsiTheme="minorHAnsi" w:cstheme="minorHAnsi"/>
                <w:color w:val="292526"/>
                <w:spacing w:val="-20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ideas</w:t>
            </w:r>
            <w:r w:rsidRPr="00766683">
              <w:rPr>
                <w:rFonts w:asciiTheme="minorHAnsi" w:hAnsiTheme="minorHAnsi" w:cstheme="minorHAnsi"/>
                <w:color w:val="292526"/>
                <w:spacing w:val="-19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of</w:t>
            </w:r>
            <w:r w:rsidRPr="00766683">
              <w:rPr>
                <w:rFonts w:asciiTheme="minorHAnsi" w:hAnsiTheme="minorHAnsi" w:cstheme="minorHAnsi"/>
                <w:color w:val="292526"/>
                <w:spacing w:val="-19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others</w:t>
            </w:r>
            <w:r w:rsidRPr="00766683">
              <w:rPr>
                <w:rFonts w:asciiTheme="minorHAnsi" w:hAnsiTheme="minorHAnsi" w:cstheme="minorHAnsi"/>
                <w:color w:val="292526"/>
                <w:spacing w:val="-19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pacing w:val="-6"/>
                <w:sz w:val="18"/>
                <w:szCs w:val="18"/>
              </w:rPr>
              <w:t>and</w:t>
            </w:r>
            <w:r w:rsidRPr="00766683">
              <w:rPr>
                <w:rFonts w:asciiTheme="minorHAnsi" w:hAnsiTheme="minorHAnsi" w:cstheme="minorHAnsi"/>
                <w:color w:val="292526"/>
                <w:spacing w:val="-4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adapt these to meet the needs of the group.</w:t>
            </w:r>
          </w:p>
        </w:tc>
        <w:tc>
          <w:tcPr>
            <w:tcW w:w="2162" w:type="dxa"/>
            <w:gridSpan w:val="2"/>
            <w:tcBorders>
              <w:top w:val="single" w:sz="24" w:space="0" w:color="231F20"/>
              <w:left w:val="single" w:sz="8" w:space="0" w:color="231F20"/>
              <w:bottom w:val="single" w:sz="24" w:space="0" w:color="231F20"/>
              <w:right w:val="single" w:sz="24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7" w:line="245" w:lineRule="auto"/>
              <w:ind w:right="28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make improvements based on constructive feedback on their listening skills.</w:t>
            </w:r>
          </w:p>
        </w:tc>
      </w:tr>
      <w:tr w:rsidR="00C70FED" w:rsidRPr="009E71FA" w:rsidTr="00C70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7" w:type="dxa"/>
          <w:trHeight w:val="7401"/>
        </w:trPr>
        <w:tc>
          <w:tcPr>
            <w:tcW w:w="622" w:type="dxa"/>
            <w:tcBorders>
              <w:top w:val="single" w:sz="24" w:space="0" w:color="231F20"/>
              <w:left w:val="single" w:sz="24" w:space="0" w:color="231F20"/>
              <w:bottom w:val="single" w:sz="4" w:space="0" w:color="auto"/>
              <w:right w:val="single" w:sz="24" w:space="0" w:color="231F20"/>
            </w:tcBorders>
            <w:shd w:val="clear" w:color="auto" w:fill="7CC3E2"/>
            <w:textDirection w:val="tbRl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15" w:type="dxa"/>
            <w:gridSpan w:val="2"/>
            <w:tcBorders>
              <w:top w:val="single" w:sz="24" w:space="0" w:color="231F20"/>
              <w:left w:val="single" w:sz="24" w:space="0" w:color="231F20"/>
              <w:bottom w:val="single" w:sz="4" w:space="0" w:color="auto"/>
              <w:right w:val="single" w:sz="24" w:space="0" w:color="231F20"/>
            </w:tcBorders>
            <w:shd w:val="clear" w:color="auto" w:fill="99FF66"/>
          </w:tcPr>
          <w:p w:rsidR="00766683" w:rsidRPr="00766683" w:rsidRDefault="00766683" w:rsidP="00766683">
            <w:pPr>
              <w:pStyle w:val="AdultBodyCopyAdultInformation"/>
              <w:spacing w:line="22" w:lineRule="atLeast"/>
              <w:rPr>
                <w:rFonts w:asciiTheme="minorHAnsi" w:hAnsiTheme="minorHAnsi" w:cstheme="minorHAnsi"/>
                <w:color w:val="F08119"/>
                <w:spacing w:val="-2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08119"/>
                <w:spacing w:val="-2"/>
                <w:sz w:val="18"/>
                <w:szCs w:val="18"/>
              </w:rPr>
              <w:t>while engaged in another</w:t>
            </w:r>
            <w:r w:rsidR="00C70FED">
              <w:rPr>
                <w:rFonts w:asciiTheme="minorHAnsi" w:hAnsiTheme="minorHAnsi" w:cstheme="minorHAnsi"/>
                <w:color w:val="F08119"/>
                <w:spacing w:val="-2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F08119"/>
                <w:spacing w:val="-2"/>
                <w:sz w:val="18"/>
                <w:szCs w:val="18"/>
              </w:rPr>
              <w:t>activit</w:t>
            </w:r>
            <w:r>
              <w:rPr>
                <w:rFonts w:asciiTheme="minorHAnsi" w:hAnsiTheme="minorHAnsi" w:cstheme="minorHAnsi"/>
                <w:color w:val="F08119"/>
                <w:spacing w:val="-2"/>
                <w:sz w:val="18"/>
                <w:szCs w:val="18"/>
              </w:rPr>
              <w:t>y.</w:t>
            </w:r>
          </w:p>
        </w:tc>
        <w:tc>
          <w:tcPr>
            <w:tcW w:w="2175" w:type="dxa"/>
            <w:gridSpan w:val="2"/>
            <w:tcBorders>
              <w:top w:val="single" w:sz="24" w:space="0" w:color="231F20"/>
              <w:left w:val="single" w:sz="24" w:space="0" w:color="231F20"/>
              <w:bottom w:val="single" w:sz="4" w:space="0" w:color="auto"/>
              <w:right w:val="single" w:sz="8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7" w:line="245" w:lineRule="auto"/>
              <w:ind w:left="57" w:right="57"/>
              <w:rPr>
                <w:rFonts w:asciiTheme="minorHAnsi" w:hAnsiTheme="minorHAnsi" w:cstheme="minorHAnsi"/>
                <w:color w:val="292526"/>
                <w:spacing w:val="-6"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sz="24" w:space="0" w:color="231F20"/>
              <w:left w:val="single" w:sz="8" w:space="0" w:color="231F20"/>
              <w:bottom w:val="single" w:sz="4" w:space="0" w:color="auto"/>
              <w:right w:val="single" w:sz="24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7" w:line="259" w:lineRule="auto"/>
              <w:ind w:left="57" w:right="57"/>
              <w:rPr>
                <w:rFonts w:asciiTheme="minorHAnsi" w:hAnsiTheme="minorHAnsi" w:cstheme="minorHAnsi"/>
                <w:color w:val="292526"/>
                <w:spacing w:val="-6"/>
                <w:w w:val="105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24" w:space="0" w:color="231F20"/>
              <w:left w:val="single" w:sz="24" w:space="0" w:color="231F20"/>
              <w:bottom w:val="single" w:sz="4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7" w:line="245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24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7" w:line="266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24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7" w:line="266" w:lineRule="auto"/>
              <w:ind w:left="113" w:right="113"/>
              <w:rPr>
                <w:rFonts w:asciiTheme="minorHAnsi" w:hAnsiTheme="minorHAnsi" w:cstheme="minorHAnsi"/>
                <w:color w:val="292526"/>
                <w:spacing w:val="-6"/>
                <w:sz w:val="18"/>
                <w:szCs w:val="18"/>
              </w:rPr>
            </w:pPr>
          </w:p>
        </w:tc>
        <w:tc>
          <w:tcPr>
            <w:tcW w:w="2162" w:type="dxa"/>
            <w:gridSpan w:val="2"/>
            <w:tcBorders>
              <w:top w:val="single" w:sz="24" w:space="0" w:color="231F20"/>
              <w:left w:val="single" w:sz="8" w:space="0" w:color="231F20"/>
              <w:bottom w:val="single" w:sz="4" w:space="0" w:color="auto"/>
              <w:right w:val="single" w:sz="24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47" w:line="245" w:lineRule="auto"/>
              <w:ind w:right="28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</w:p>
        </w:tc>
      </w:tr>
      <w:tr w:rsidR="00766683" w:rsidRPr="009E71FA" w:rsidTr="00C70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680"/>
        </w:trPr>
        <w:tc>
          <w:tcPr>
            <w:tcW w:w="679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7CC3E2"/>
            <w:textDirection w:val="tbRl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ind w:left="269"/>
              <w:jc w:val="left"/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</w:pPr>
            <w:hyperlink r:id="rId8" w:history="1">
              <w:r w:rsidRPr="00766683">
                <w:rPr>
                  <w:rFonts w:asciiTheme="minorHAnsi" w:hAnsiTheme="minorHAnsi" w:cstheme="minorHAnsi"/>
                  <w:b/>
                  <w:bCs/>
                  <w:color w:val="292526"/>
                  <w:sz w:val="18"/>
                  <w:szCs w:val="18"/>
                </w:rPr>
                <w:t>Following Instruction</w:t>
              </w:r>
            </w:hyperlink>
          </w:p>
        </w:tc>
        <w:tc>
          <w:tcPr>
            <w:tcW w:w="246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99FF66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66" w:lineRule="auto"/>
              <w:ind w:left="57" w:right="57" w:hanging="1"/>
              <w:rPr>
                <w:rFonts w:asciiTheme="minorHAnsi" w:hAnsiTheme="minorHAnsi" w:cstheme="minorHAnsi"/>
                <w:color w:val="F68A53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A53"/>
                <w:sz w:val="18"/>
                <w:szCs w:val="18"/>
              </w:rPr>
              <w:t>To respond to simple instructions, e.g. to get or put away an object.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69" w:line="266" w:lineRule="auto"/>
              <w:ind w:left="57" w:right="57"/>
              <w:rPr>
                <w:rFonts w:asciiTheme="minorHAnsi" w:hAnsiTheme="minorHAnsi" w:cstheme="minorHAnsi"/>
                <w:color w:val="00689E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00689E"/>
                <w:sz w:val="18"/>
                <w:szCs w:val="18"/>
              </w:rPr>
              <w:t>To respond to instructions involving a two-part sequence.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69" w:line="266" w:lineRule="auto"/>
              <w:ind w:left="57" w:right="57"/>
              <w:rPr>
                <w:rFonts w:asciiTheme="minorHAnsi" w:hAnsiTheme="minorHAnsi" w:cstheme="minorHAnsi"/>
                <w:color w:val="F68A53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00A650"/>
                <w:sz w:val="18"/>
                <w:szCs w:val="18"/>
              </w:rPr>
              <w:t>To follow instructions involving several ideas or actions.</w:t>
            </w:r>
          </w:p>
        </w:tc>
        <w:tc>
          <w:tcPr>
            <w:tcW w:w="2165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5" w:line="220" w:lineRule="atLeast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6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understand instructions</w:t>
            </w:r>
            <w:r w:rsidRPr="00766683">
              <w:rPr>
                <w:rFonts w:asciiTheme="minorHAnsi" w:hAnsiTheme="minorHAnsi" w:cstheme="minorHAnsi"/>
                <w:color w:val="292526"/>
                <w:spacing w:val="-26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with</w:t>
            </w:r>
            <w:r w:rsidRPr="00766683">
              <w:rPr>
                <w:rFonts w:asciiTheme="minorHAnsi" w:hAnsiTheme="minorHAnsi" w:cstheme="minorHAnsi"/>
                <w:color w:val="292526"/>
                <w:spacing w:val="-26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more than</w:t>
            </w:r>
            <w:r w:rsidRPr="00766683">
              <w:rPr>
                <w:rFonts w:asciiTheme="minorHAnsi" w:hAnsiTheme="minorHAnsi" w:cstheme="minorHAnsi"/>
                <w:color w:val="292526"/>
                <w:spacing w:val="-13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one</w:t>
            </w:r>
            <w:r w:rsidRPr="00766683">
              <w:rPr>
                <w:rFonts w:asciiTheme="minorHAnsi" w:hAnsiTheme="minorHAnsi" w:cstheme="minorHAnsi"/>
                <w:color w:val="292526"/>
                <w:spacing w:val="-14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point</w:t>
            </w:r>
            <w:r w:rsidRPr="00766683">
              <w:rPr>
                <w:rFonts w:asciiTheme="minorHAnsi" w:hAnsiTheme="minorHAnsi" w:cstheme="minorHAnsi"/>
                <w:color w:val="292526"/>
                <w:spacing w:val="-13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in</w:t>
            </w:r>
            <w:r w:rsidRPr="00766683">
              <w:rPr>
                <w:rFonts w:asciiTheme="minorHAnsi" w:hAnsiTheme="minorHAnsi" w:cstheme="minorHAnsi"/>
                <w:color w:val="292526"/>
                <w:spacing w:val="-13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 xml:space="preserve">many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situations.</w:t>
            </w:r>
          </w:p>
        </w:tc>
        <w:tc>
          <w:tcPr>
            <w:tcW w:w="216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fully understand instructions with</w:t>
            </w:r>
            <w:r w:rsidRPr="00766683">
              <w:rPr>
                <w:rFonts w:asciiTheme="minorHAnsi" w:hAnsiTheme="minorHAnsi" w:cstheme="minorHAnsi"/>
                <w:color w:val="292526"/>
                <w:spacing w:val="-8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more than one point in many situations and independently seek clarification when a message is not</w:t>
            </w:r>
            <w:r w:rsidRPr="00766683">
              <w:rPr>
                <w:rFonts w:asciiTheme="minorHAnsi" w:hAnsiTheme="minorHAnsi" w:cstheme="minorHAnsi"/>
                <w:color w:val="292526"/>
                <w:spacing w:val="-4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>clear.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69" w:line="245" w:lineRule="auto"/>
              <w:ind w:left="57" w:right="57"/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attempt to follow instructions before seeking assistance.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follow instructions in a range of</w:t>
            </w:r>
            <w:r w:rsidRPr="00766683">
              <w:rPr>
                <w:rFonts w:asciiTheme="minorHAnsi" w:hAnsiTheme="minorHAnsi" w:cstheme="minorHAnsi"/>
                <w:color w:val="292526"/>
                <w:spacing w:val="-16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unfamiliar situations.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69" w:line="245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recognise when it is needed and ask for specific additional information to</w:t>
            </w:r>
            <w:r w:rsidRPr="00766683">
              <w:rPr>
                <w:rFonts w:asciiTheme="minorHAnsi" w:hAnsiTheme="minorHAnsi" w:cstheme="minorHAnsi"/>
                <w:color w:val="292526"/>
                <w:spacing w:val="-6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clarify instructions.</w:t>
            </w:r>
          </w:p>
        </w:tc>
        <w:tc>
          <w:tcPr>
            <w:tcW w:w="6512" w:type="dxa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follow complex directions/multi-step instructions without the need for repetition.</w:t>
            </w:r>
          </w:p>
        </w:tc>
      </w:tr>
      <w:tr w:rsidR="00766683" w:rsidRPr="009E71FA" w:rsidTr="00C70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342"/>
        </w:trPr>
        <w:tc>
          <w:tcPr>
            <w:tcW w:w="679" w:type="dxa"/>
            <w:gridSpan w:val="2"/>
            <w:tcBorders>
              <w:top w:val="single" w:sz="8" w:space="0" w:color="231F20"/>
              <w:left w:val="single" w:sz="24" w:space="0" w:color="231F20"/>
              <w:bottom w:val="single" w:sz="4" w:space="0" w:color="auto"/>
              <w:right w:val="single" w:sz="24" w:space="0" w:color="231F20"/>
            </w:tcBorders>
            <w:shd w:val="clear" w:color="auto" w:fill="7CC3E2"/>
            <w:textDirection w:val="tbRl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272"/>
              <w:ind w:left="994"/>
              <w:jc w:val="left"/>
              <w:rPr>
                <w:rFonts w:asciiTheme="minorHAnsi" w:hAnsiTheme="minorHAnsi" w:cstheme="minorHAnsi"/>
                <w:b/>
                <w:bCs/>
                <w:color w:val="292526"/>
                <w:sz w:val="18"/>
                <w:szCs w:val="18"/>
              </w:rPr>
            </w:pPr>
            <w:hyperlink r:id="rId9" w:history="1">
              <w:r w:rsidRPr="00766683">
                <w:rPr>
                  <w:rFonts w:asciiTheme="minorHAnsi" w:hAnsiTheme="minorHAnsi" w:cstheme="minorHAnsi"/>
                  <w:b/>
                  <w:bCs/>
                  <w:color w:val="292526"/>
                  <w:sz w:val="18"/>
                  <w:szCs w:val="18"/>
                </w:rPr>
                <w:t>Asking &amp; Answering Questions</w:t>
              </w:r>
            </w:hyperlink>
          </w:p>
        </w:tc>
        <w:tc>
          <w:tcPr>
            <w:tcW w:w="2465" w:type="dxa"/>
            <w:tcBorders>
              <w:top w:val="single" w:sz="8" w:space="0" w:color="231F20"/>
              <w:left w:val="single" w:sz="24" w:space="0" w:color="231F20"/>
              <w:bottom w:val="single" w:sz="4" w:space="0" w:color="auto"/>
              <w:right w:val="single" w:sz="24" w:space="0" w:color="231F20"/>
            </w:tcBorders>
            <w:shd w:val="clear" w:color="auto" w:fill="99FF66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begin to understand ‘why’ and ‘how’ questions.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69" w:line="244" w:lineRule="auto"/>
              <w:ind w:left="57" w:right="57" w:hanging="1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 xml:space="preserve">To question why </w:t>
            </w:r>
            <w:proofErr w:type="gramStart"/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things</w:t>
            </w:r>
            <w:proofErr w:type="gramEnd"/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 xml:space="preserve"> happen and give explanations. Asks who, what, when and how.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68" w:line="244" w:lineRule="auto"/>
              <w:ind w:left="57" w:right="57" w:hanging="1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comment and ask questions about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aspects of their familiar world, such as the place where they live or the natural world.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line="244" w:lineRule="auto"/>
              <w:ind w:left="57" w:right="57"/>
              <w:rPr>
                <w:rFonts w:asciiTheme="minorHAnsi" w:hAnsiTheme="minorHAnsi" w:cstheme="minorHAnsi"/>
                <w:color w:val="00689E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00689E"/>
                <w:sz w:val="18"/>
                <w:szCs w:val="18"/>
              </w:rPr>
              <w:t>To ask appropriate questions of others.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line="244" w:lineRule="auto"/>
              <w:ind w:left="57" w:right="57"/>
              <w:rPr>
                <w:rFonts w:asciiTheme="minorHAnsi" w:hAnsiTheme="minorHAnsi" w:cstheme="minorHAnsi"/>
                <w:color w:val="00A650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00A650"/>
                <w:sz w:val="18"/>
                <w:szCs w:val="18"/>
              </w:rPr>
              <w:t>To answer ‘how’ and ‘why’ questions about their experiences and in response to stories or events.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</w:p>
        </w:tc>
        <w:tc>
          <w:tcPr>
            <w:tcW w:w="2165" w:type="dxa"/>
            <w:gridSpan w:val="2"/>
            <w:tcBorders>
              <w:top w:val="single" w:sz="8" w:space="0" w:color="231F20"/>
              <w:left w:val="single" w:sz="24" w:space="0" w:color="231F20"/>
              <w:bottom w:val="single" w:sz="4" w:space="0" w:color="auto"/>
              <w:right w:val="single" w:sz="8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begin to ask questions that are linked to the topic</w:t>
            </w:r>
            <w:r w:rsidRPr="00766683">
              <w:rPr>
                <w:rFonts w:asciiTheme="minorHAnsi" w:hAnsiTheme="minorHAnsi" w:cstheme="minorHAnsi"/>
                <w:color w:val="292526"/>
                <w:spacing w:val="-16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being discussed.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68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answer questions on a wider range of topics (sometimes may only be one-word answers).</w:t>
            </w:r>
          </w:p>
        </w:tc>
        <w:tc>
          <w:tcPr>
            <w:tcW w:w="2163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24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show that they are following a conversation by asking relevant and timely questions.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68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answer questions using clear sentences.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70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begin to give reasoning behind their answers when prompted to do so.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24" w:space="0" w:color="231F20"/>
              <w:bottom w:val="single" w:sz="4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 xml:space="preserve">To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ask questions that relate to what has</w:t>
            </w:r>
            <w:r w:rsidRPr="00766683">
              <w:rPr>
                <w:rFonts w:asciiTheme="minorHAnsi" w:hAnsiTheme="minorHAnsi" w:cstheme="minorHAnsi"/>
                <w:color w:val="292526"/>
                <w:spacing w:val="-14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been heard or what was presented to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them.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69" w:line="245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begin to offer support for their answers to questions with justifiable reasoning.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generate relevant questions to ask a specific speaker/audience in response to what has been</w:t>
            </w:r>
            <w:r w:rsidRPr="00766683">
              <w:rPr>
                <w:rFonts w:asciiTheme="minorHAnsi" w:hAnsiTheme="minorHAnsi" w:cstheme="minorHAnsi"/>
                <w:color w:val="292526"/>
                <w:spacing w:val="12"/>
                <w:sz w:val="18"/>
                <w:szCs w:val="18"/>
              </w:rPr>
              <w:t xml:space="preserve">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said.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71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regularly offer answers that are supported with justifiable reasoning.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ask questions which deepen conversations and/or further their knowledge.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71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understand how to answer questions that require more detailed answers and justification.</w:t>
            </w:r>
          </w:p>
        </w:tc>
        <w:tc>
          <w:tcPr>
            <w:tcW w:w="2162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24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 xml:space="preserve">To regularly ask </w:t>
            </w:r>
            <w:r w:rsidRPr="00766683">
              <w:rPr>
                <w:rFonts w:asciiTheme="minorHAnsi" w:hAnsiTheme="minorHAnsi" w:cstheme="minorHAnsi"/>
                <w:color w:val="292526"/>
                <w:spacing w:val="-3"/>
                <w:sz w:val="18"/>
                <w:szCs w:val="18"/>
              </w:rPr>
              <w:t xml:space="preserve">relevant </w:t>
            </w: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questions to extend their understanding and knowledge.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171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articulate and justify answers with confidence in a range of situations.</w:t>
            </w:r>
          </w:p>
        </w:tc>
      </w:tr>
      <w:tr w:rsidR="00C70FED" w:rsidRPr="009E71FA" w:rsidTr="00C70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342"/>
        </w:trPr>
        <w:tc>
          <w:tcPr>
            <w:tcW w:w="679" w:type="dxa"/>
            <w:gridSpan w:val="2"/>
            <w:tcBorders>
              <w:top w:val="single" w:sz="4" w:space="0" w:color="auto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7CC3E2"/>
            <w:textDirection w:val="tbRl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272"/>
              <w:ind w:left="99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Pr="0076668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Drama, Performance &amp; Confidence</w:t>
              </w:r>
            </w:hyperlink>
          </w:p>
        </w:tc>
        <w:tc>
          <w:tcPr>
            <w:tcW w:w="2465" w:type="dxa"/>
            <w:tcBorders>
              <w:top w:val="single" w:sz="4" w:space="0" w:color="auto"/>
              <w:left w:val="single" w:sz="24" w:space="0" w:color="231F20"/>
              <w:bottom w:val="none" w:sz="6" w:space="0" w:color="auto"/>
              <w:right w:val="single" w:sz="24" w:space="0" w:color="231F20"/>
            </w:tcBorders>
            <w:shd w:val="clear" w:color="auto" w:fill="99FF66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use intonation, rhythm and phrasing to make the meaning clear to others.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talk confidently with other children when playing, and will communicate freely about own home and community.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confidently speak to others about own needs, wants, interests and opinions.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express themselves effectively, showing awareness of listeners’ needs.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speak confidently in a familiar group, will talk about their ideas.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speak clearly in a way that is easy to understand.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speak in front of larger audiences, e.g. in a class assembly, during a show ‘n’ tell session.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know when it is their turn to speak in a small group presentation or play performance.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take part in a simple role play of a known story.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speak confidently within a group of peers so that their message is clear.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practise and rehearse reading sentences and stories aloud.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take on a different role in a drama or role play and discuss the character’s feelings.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recognise that sometimes speakers talk differently and discuss reasons why this might happen.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rehearse reading sentences and stories aloud, taking note of feedback from teachers and peers.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speak regularly in front of large and small audiences.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participate in role play tasks, showing an understanding of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character by choosing appropriate words and phrases to indicate a person’s emotions.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use intonation when reading aloud to emphasise punctuation.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practise and rehearse sentences and stories, gaining feedback on their performance from teachers and peers.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take on a specific role in role-play/drama activities and participate in focused discussion while remaining in character.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discuss the language choices of other speakers and how this may vary in different situations.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narrate stories with intonation and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expression to add detail and excitement for the listener.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use feedback from peers and teachers (and from observing other speakers) to make improvements to performance.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combine vocabulary choices, gestures and body movement to take on and maintain the role of a character.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participate confidently in a range of different performances, role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play exercises and improvisations (including acting in role).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gain, maintain and monitor the interest of the listener(s).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select and use appropriate registers for effective communication.</w:t>
            </w:r>
          </w:p>
        </w:tc>
      </w:tr>
      <w:tr w:rsidR="00C70FED" w:rsidRPr="009E71FA" w:rsidTr="00C70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342"/>
        </w:trPr>
        <w:tc>
          <w:tcPr>
            <w:tcW w:w="679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7CC3E2"/>
            <w:textDirection w:val="tbRl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272"/>
              <w:ind w:left="99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Pr="0076668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Vocabulary Building &amp; Standard</w:t>
              </w:r>
            </w:hyperlink>
          </w:p>
        </w:tc>
        <w:tc>
          <w:tcPr>
            <w:tcW w:w="2465" w:type="dxa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24" w:space="0" w:color="231F20"/>
            </w:tcBorders>
            <w:shd w:val="clear" w:color="auto" w:fill="99FF66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begin to use more complex sentences to link thoughts (e.g. using and, because).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use a range of tenses (e.g. play, playing, will play, played).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use vocabulary focused on objects and people that are of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particular importance to them.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build up vocabulary that reflects the breadth of their experiences.</w:t>
            </w:r>
          </w:p>
        </w:tc>
        <w:tc>
          <w:tcPr>
            <w:tcW w:w="2165" w:type="dxa"/>
            <w:gridSpan w:val="2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use appropriate vocabulary to describe their immediate world and feelings.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think of alternatives for simple vocabulary choices.</w:t>
            </w:r>
          </w:p>
        </w:tc>
        <w:tc>
          <w:tcPr>
            <w:tcW w:w="2163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start to use subject- specific vocabulary to explain, describe and add detail.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suggest words or phrases appropriate to the topic being discussed.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start to vary language according to the situation between formal and informal.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usually speak in grammatically correct sentences.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use vocabulary that is appropriate to the topic and/or the audience.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recognise powerful vocabulary in stories/ texts that they read or listen to and begin to try to use these words and phrases in their own talk.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discuss topics that are unfamiliar to their own direct experience.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regularly use interesting adjectives, adverbial phrases and extended noun phrases in speech.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know and use language that is acceptable in formal and informal situations with increasing confidence.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recognise powerful vocabulary in stories/ texts that they read or listen to, building these words and phrases into their own talk in an appropriate way.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regularly use interesting adjectives, adverbial phrases and extended noun phrases in speech.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know and use language that is acceptable in formal and informal situations with increasing confidence.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recognise powerful vocabulary in stories/ texts that they read or listen to, building these words and phrases into their own talk in an appropriate way.</w:t>
            </w:r>
          </w:p>
        </w:tc>
        <w:tc>
          <w:tcPr>
            <w:tcW w:w="2162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use relevant strategies to build their vocabulary.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use adventurous and ambitious vocabulary in speech, which is always appropriate to the topic, audience and purpose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speak audibly, fluently and with a full command of Standard English in all situations.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use a broad, deep and rich vocabulary to discuss abstract concepts and a wide</w:t>
            </w:r>
          </w:p>
        </w:tc>
      </w:tr>
      <w:tr w:rsidR="00C70FED" w:rsidRPr="009E71FA" w:rsidTr="00C70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342"/>
        </w:trPr>
        <w:tc>
          <w:tcPr>
            <w:tcW w:w="679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7CC3E2"/>
            <w:textDirection w:val="tbRl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272"/>
              <w:ind w:left="99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Pr="0076668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English</w:t>
              </w:r>
            </w:hyperlink>
          </w:p>
        </w:tc>
        <w:tc>
          <w:tcPr>
            <w:tcW w:w="2465" w:type="dxa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24" w:space="0" w:color="231F20"/>
            </w:tcBorders>
            <w:shd w:val="clear" w:color="auto" w:fill="99FF66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use past, present and future forms accurately when talking about events that have happened or are to happen in the future.</w:t>
            </w:r>
          </w:p>
        </w:tc>
        <w:tc>
          <w:tcPr>
            <w:tcW w:w="2165" w:type="dxa"/>
            <w:gridSpan w:val="2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range of topics.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confidently explain the meaning of words and offer alternative synonyms.</w:t>
            </w:r>
          </w:p>
        </w:tc>
      </w:tr>
      <w:tr w:rsidR="00C70FED" w:rsidRPr="009E71FA" w:rsidTr="00C70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342"/>
        </w:trPr>
        <w:tc>
          <w:tcPr>
            <w:tcW w:w="679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7CC3E2"/>
            <w:textDirection w:val="tbRl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272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Pr="0076668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Speaking for a Range of Purposes</w:t>
              </w:r>
            </w:hyperlink>
          </w:p>
        </w:tc>
        <w:tc>
          <w:tcPr>
            <w:tcW w:w="2465" w:type="dxa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24" w:space="0" w:color="231F20"/>
            </w:tcBorders>
            <w:shd w:val="clear" w:color="auto" w:fill="99FF66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retell a simple past event in correct order (e.g. went down slide, hurt finger).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talk to connect ideas, explain what is happening and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anticipate what might happen next, recall and relive past experiences.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use talk in pretending that objects stand for something else in play, e.g. ‘This box is my castle.’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remember and talk about significant events in their own experience.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 xml:space="preserve">To talk about why </w:t>
            </w:r>
            <w:proofErr w:type="gramStart"/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things</w:t>
            </w:r>
            <w:proofErr w:type="gramEnd"/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 xml:space="preserve"> happen and how things work.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use language to imagine and recreate roles and experiences in play situations.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link statements and stick to a main theme or intention.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use talk to organise, sequence and clarify thinking, ideas, feelings and events.</w:t>
            </w:r>
          </w:p>
        </w:tc>
        <w:tc>
          <w:tcPr>
            <w:tcW w:w="2165" w:type="dxa"/>
            <w:gridSpan w:val="2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organise their thoughts into sentences before expressing them.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be able to describe their immediate world and environment.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retell simple stories and recounts aloud.</w:t>
            </w:r>
          </w:p>
        </w:tc>
        <w:tc>
          <w:tcPr>
            <w:tcW w:w="2163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talk about themselves clearly and confidently.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verbally recount experiences with some added interesting details.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offer ideas based on what has been heard.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24" w:space="0" w:color="231F20"/>
              <w:bottom w:val="none" w:sz="6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organise what they want to say so that it has a clear purpose.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begin to give descriptions, recounts and narrative retellings with added details to engage listeners.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give descriptions, recounts and narrative retellings with specific details to actively engage listeners.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debate issues and make their opinions on topics clear.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adapt their ideas in response to new information.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plan and present information clearly with ambitious added detail and description for the listener.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participate in debates/arguments and use relevant details to support their opinions and adding humour where appropriate.</w:t>
            </w:r>
          </w:p>
        </w:tc>
        <w:tc>
          <w:tcPr>
            <w:tcW w:w="2162" w:type="dxa"/>
            <w:gridSpan w:val="2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single" w:sz="24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communicate confidently across a range of contexts and to a range of audiences.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articulate and justify arguments and opinions with confidence.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give well-structured descriptions, explanations, presentations and narratives for different purposes, including for expressing feelings.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use spoken language to develop understanding through speculating, hypothesising,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imagining and exploring ideas.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make reference back to their original thoughts when their opinions have changed and give reasons for their change of focus.</w:t>
            </w:r>
          </w:p>
        </w:tc>
      </w:tr>
      <w:tr w:rsidR="00C70FED" w:rsidRPr="009E71FA" w:rsidTr="00C70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342"/>
        </w:trPr>
        <w:tc>
          <w:tcPr>
            <w:tcW w:w="679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7CC3E2"/>
            <w:textDirection w:val="tbRl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272"/>
              <w:ind w:left="99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24" w:space="0" w:color="231F20"/>
            </w:tcBorders>
            <w:shd w:val="clear" w:color="auto" w:fill="99FF66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introduce a storyline or narrative into their play.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explain own knowledge and understanding.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develop their own narratives and explanations by connecting ideas or events.</w:t>
            </w:r>
          </w:p>
        </w:tc>
        <w:tc>
          <w:tcPr>
            <w:tcW w:w="2165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24" w:space="0" w:color="231F20"/>
              <w:bottom w:val="single" w:sz="8" w:space="0" w:color="231F20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4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</w:p>
        </w:tc>
      </w:tr>
      <w:tr w:rsidR="00C70FED" w:rsidRPr="009E71FA" w:rsidTr="00C70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342"/>
        </w:trPr>
        <w:tc>
          <w:tcPr>
            <w:tcW w:w="679" w:type="dxa"/>
            <w:gridSpan w:val="2"/>
            <w:tcBorders>
              <w:top w:val="single" w:sz="8" w:space="0" w:color="231F20"/>
              <w:left w:val="single" w:sz="24" w:space="0" w:color="231F20"/>
              <w:bottom w:val="single" w:sz="4" w:space="0" w:color="auto"/>
              <w:right w:val="single" w:sz="24" w:space="0" w:color="231F20"/>
            </w:tcBorders>
            <w:shd w:val="clear" w:color="auto" w:fill="7CC3E2"/>
            <w:textDirection w:val="tbRl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272"/>
              <w:ind w:left="99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Pr="0076668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Participating in Discussion</w:t>
              </w:r>
            </w:hyperlink>
          </w:p>
        </w:tc>
        <w:tc>
          <w:tcPr>
            <w:tcW w:w="2465" w:type="dxa"/>
            <w:tcBorders>
              <w:top w:val="single" w:sz="8" w:space="0" w:color="231F20"/>
              <w:left w:val="single" w:sz="24" w:space="0" w:color="231F20"/>
              <w:bottom w:val="single" w:sz="4" w:space="0" w:color="auto"/>
              <w:right w:val="single" w:sz="24" w:space="0" w:color="231F20"/>
            </w:tcBorders>
            <w:shd w:val="clear" w:color="auto" w:fill="99FF66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initiate conversations, attend to and take account of what others say.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F6862A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F6862A"/>
                <w:sz w:val="18"/>
                <w:szCs w:val="18"/>
              </w:rPr>
              <w:t>To listen and respond to ideas expressed by others in conversation or discussion. This is 40-60m not ELG.</w:t>
            </w:r>
          </w:p>
        </w:tc>
        <w:tc>
          <w:tcPr>
            <w:tcW w:w="2165" w:type="dxa"/>
            <w:gridSpan w:val="2"/>
            <w:tcBorders>
              <w:top w:val="single" w:sz="8" w:space="0" w:color="231F20"/>
              <w:left w:val="single" w:sz="24" w:space="0" w:color="231F20"/>
              <w:bottom w:val="single" w:sz="4" w:space="0" w:color="auto"/>
              <w:right w:val="single" w:sz="8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recognise when it is their turn to speak in a discussion.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recognise that different people will have different responses and that that these are as valuable as their own opinions and ideas.</w:t>
            </w:r>
          </w:p>
        </w:tc>
        <w:tc>
          <w:tcPr>
            <w:tcW w:w="2163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24" w:space="0" w:color="231F20"/>
            </w:tcBorders>
            <w:shd w:val="clear" w:color="auto" w:fill="7CC3E2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give enough detail to hold the interest of other participant(s) in a discussion.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engage in meaningful discussions that relate to different topic areas.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remain focused on a discussion when not directly involved and be able to recall the main points when questioned.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24" w:space="0" w:color="231F20"/>
              <w:bottom w:val="single" w:sz="4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engage in discussions, making relevant points or asking relevant questions to show they have followed a conversation.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59" w:line="244" w:lineRule="auto"/>
              <w:ind w:left="57" w:right="57"/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pacing w:val="-5"/>
                <w:sz w:val="18"/>
                <w:szCs w:val="18"/>
              </w:rPr>
              <w:t>To take account of the viewpoints of others when participating in discussions.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engage in discussions, making relevant points and ask for specific additional information or viewpoints from other participants.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begin to challenge opinions with respect.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engage in meaningful discussions in all areas of the curriculum.</w:t>
            </w:r>
          </w:p>
        </w:tc>
        <w:tc>
          <w:tcPr>
            <w:tcW w:w="2175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develop, agree to and evaluate rules for effective discussion; follow their own rules in small groups and whole- class conversations.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engage in longer and sustained discussions about a range of topics.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ask questions, offer suggestions, challenge ideas and give opinions in order to take an active part in discussions.</w:t>
            </w:r>
          </w:p>
        </w:tc>
        <w:tc>
          <w:tcPr>
            <w:tcW w:w="2162" w:type="dxa"/>
            <w:gridSpan w:val="2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24" w:space="0" w:color="231F20"/>
            </w:tcBorders>
            <w:shd w:val="clear" w:color="auto" w:fill="FF99FF"/>
          </w:tcPr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maintain attention and participate actively   in collaborative conversations, staying on topic and initiating and responding to comments with confidence.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consider and evaluate different viewpoints, adding their own interpretations and building on the contributions of others.</w:t>
            </w:r>
          </w:p>
          <w:p w:rsidR="00766683" w:rsidRPr="00766683" w:rsidRDefault="00766683" w:rsidP="00766683">
            <w:pPr>
              <w:pStyle w:val="TableParagraph"/>
              <w:kinsoku w:val="0"/>
              <w:overflowPunct w:val="0"/>
              <w:spacing w:before="64"/>
              <w:ind w:left="57" w:right="57"/>
              <w:rPr>
                <w:rFonts w:asciiTheme="minorHAnsi" w:hAnsiTheme="minorHAnsi" w:cstheme="minorHAnsi"/>
                <w:color w:val="292526"/>
                <w:sz w:val="18"/>
                <w:szCs w:val="18"/>
              </w:rPr>
            </w:pPr>
            <w:r w:rsidRPr="00766683">
              <w:rPr>
                <w:rFonts w:asciiTheme="minorHAnsi" w:hAnsiTheme="minorHAnsi" w:cstheme="minorHAnsi"/>
                <w:color w:val="292526"/>
                <w:sz w:val="18"/>
                <w:szCs w:val="18"/>
              </w:rPr>
              <w:t>To offer an alternative explanation when other participant(s) do not understand.</w:t>
            </w:r>
          </w:p>
        </w:tc>
      </w:tr>
    </w:tbl>
    <w:p w:rsidR="00AE4BE2" w:rsidRDefault="00AE4BE2" w:rsidP="00AE4BE2">
      <w:pPr>
        <w:pStyle w:val="BodyText"/>
        <w:kinsoku w:val="0"/>
        <w:overflowPunct w:val="0"/>
        <w:spacing w:before="75"/>
        <w:ind w:right="1981"/>
        <w:rPr>
          <w:b/>
          <w:bCs/>
          <w:i w:val="0"/>
          <w:iCs w:val="0"/>
          <w:color w:val="F05B71"/>
          <w:sz w:val="36"/>
          <w:szCs w:val="36"/>
        </w:rPr>
      </w:pPr>
    </w:p>
    <w:p w:rsidR="00C33FAF" w:rsidRDefault="0039711C"/>
    <w:sectPr w:rsidR="00C33FAF" w:rsidSect="00AE4BE2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ED" w:rsidRDefault="00C70FED" w:rsidP="00C70FED">
      <w:pPr>
        <w:spacing w:after="0" w:line="240" w:lineRule="auto"/>
      </w:pPr>
      <w:r>
        <w:separator/>
      </w:r>
    </w:p>
  </w:endnote>
  <w:endnote w:type="continuationSeparator" w:id="0">
    <w:p w:rsidR="00C70FED" w:rsidRDefault="00C70FED" w:rsidP="00C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Robot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uff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ED" w:rsidRDefault="00C70FED" w:rsidP="00C70FED">
      <w:pPr>
        <w:spacing w:after="0" w:line="240" w:lineRule="auto"/>
      </w:pPr>
      <w:r>
        <w:separator/>
      </w:r>
    </w:p>
  </w:footnote>
  <w:footnote w:type="continuationSeparator" w:id="0">
    <w:p w:rsidR="00C70FED" w:rsidRDefault="00C70FED" w:rsidP="00C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10" w:rsidRDefault="004C3610">
    <w:pPr>
      <w:pStyle w:val="Header"/>
    </w:pPr>
  </w:p>
  <w:p w:rsidR="00C70FED" w:rsidRDefault="00C70F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E2"/>
    <w:rsid w:val="0039711C"/>
    <w:rsid w:val="004C3610"/>
    <w:rsid w:val="00766683"/>
    <w:rsid w:val="00AE4BE2"/>
    <w:rsid w:val="00B149E0"/>
    <w:rsid w:val="00C609F3"/>
    <w:rsid w:val="00C7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6737A"/>
  <w15:chartTrackingRefBased/>
  <w15:docId w15:val="{192AE4A8-B8D9-4127-A637-B18D9C52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E4BE2"/>
    <w:pPr>
      <w:widowControl w:val="0"/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i/>
      <w:iC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E4BE2"/>
    <w:rPr>
      <w:rFonts w:ascii="Roboto" w:eastAsiaTheme="minorEastAsia" w:hAnsi="Roboto" w:cs="Roboto"/>
      <w:i/>
      <w:iCs/>
      <w:sz w:val="2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AE4B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Roboto" w:eastAsiaTheme="minorEastAsia" w:hAnsi="Roboto" w:cs="Roboto"/>
      <w:sz w:val="24"/>
      <w:szCs w:val="24"/>
      <w:lang w:eastAsia="en-GB"/>
    </w:rPr>
  </w:style>
  <w:style w:type="paragraph" w:customStyle="1" w:styleId="AdultBodyCopyAdultInformation">
    <w:name w:val="Adult Body Copy (Adult Information)"/>
    <w:basedOn w:val="Normal"/>
    <w:uiPriority w:val="99"/>
    <w:rsid w:val="00AE4BE2"/>
    <w:pPr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Tuffy" w:eastAsiaTheme="minorEastAsia" w:hAnsi="Tuffy" w:cs="Tuffy"/>
      <w:color w:val="131312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E4B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FED"/>
  </w:style>
  <w:style w:type="paragraph" w:styleId="Footer">
    <w:name w:val="footer"/>
    <w:basedOn w:val="Normal"/>
    <w:link w:val="FooterChar"/>
    <w:uiPriority w:val="99"/>
    <w:unhideWhenUsed/>
    <w:rsid w:val="00C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deep-dive-into-reading-self-review-and-resource-pack-t-e-2548595" TargetMode="External"/><Relationship Id="rId13" Type="http://schemas.openxmlformats.org/officeDocument/2006/relationships/hyperlink" Target="https://www.twinkl.co.uk/resource/deep-dive-into-reading-self-review-and-resource-pack-t-e-25485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winkl.co.uk/resource/deep-dive-into-reading-self-review-and-resource-pack-t-e-2548595" TargetMode="External"/><Relationship Id="rId12" Type="http://schemas.openxmlformats.org/officeDocument/2006/relationships/hyperlink" Target="https://www.twinkl.co.uk/resource/deep-dive-into-reading-self-review-and-resource-pack-t-e-254859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winkl.co.uk/resource/deep-dive-into-reading-self-review-and-resource-pack-t-e-2548595" TargetMode="External"/><Relationship Id="rId11" Type="http://schemas.openxmlformats.org/officeDocument/2006/relationships/hyperlink" Target="https://www.twinkl.co.uk/resource/deep-dive-into-reading-self-review-and-resource-pack-t-e-2548595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twinkl.co.uk/resource/deep-dive-into-reading-self-review-and-resource-pack-t-e-25485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winkl.co.uk/resource/deep-dive-into-reading-self-review-and-resource-pack-t-e-2548595" TargetMode="External"/><Relationship Id="rId14" Type="http://schemas.openxmlformats.org/officeDocument/2006/relationships/hyperlink" Target="https://www.twinkl.co.uk/resource/deep-dive-into-reading-self-review-and-resource-pack-t-e-2548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Charlesworth</dc:creator>
  <cp:keywords/>
  <dc:description/>
  <cp:lastModifiedBy>C Charlesworth</cp:lastModifiedBy>
  <cp:revision>1</cp:revision>
  <dcterms:created xsi:type="dcterms:W3CDTF">2020-07-28T20:57:00Z</dcterms:created>
  <dcterms:modified xsi:type="dcterms:W3CDTF">2020-07-28T21:52:00Z</dcterms:modified>
</cp:coreProperties>
</file>