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08A8" w14:textId="26C1C357" w:rsidR="00A934E6" w:rsidRPr="00A934E6" w:rsidRDefault="00CE0B72" w:rsidP="00A934E6">
      <w:pPr>
        <w:pStyle w:val="Sub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5EC6D4" wp14:editId="2A1114AF">
            <wp:simplePos x="0" y="0"/>
            <wp:positionH relativeFrom="margin">
              <wp:align>right</wp:align>
            </wp:positionH>
            <wp:positionV relativeFrom="paragraph">
              <wp:posOffset>-811033</wp:posOffset>
            </wp:positionV>
            <wp:extent cx="1049572" cy="1049572"/>
            <wp:effectExtent l="0" t="0" r="0" b="0"/>
            <wp:wrapNone/>
            <wp:docPr id="1" name="Picture 1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CF" w:rsidRPr="00DE3ACF">
        <w:t>S</w:t>
      </w:r>
      <w:r w:rsidR="00A934E6" w:rsidRPr="00DE3ACF">
        <w:t xml:space="preserve">t Johns School assessment from </w:t>
      </w:r>
      <w:r w:rsidR="00A934E6">
        <w:t>SATs 2023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34"/>
        <w:gridCol w:w="4965"/>
        <w:gridCol w:w="7655"/>
      </w:tblGrid>
      <w:tr w:rsidR="002D0FF1" w:rsidRPr="0096735F" w14:paraId="2AC8573E" w14:textId="77777777" w:rsidTr="002D0FF1">
        <w:trPr>
          <w:trHeight w:val="516"/>
        </w:trPr>
        <w:tc>
          <w:tcPr>
            <w:tcW w:w="1834" w:type="dxa"/>
          </w:tcPr>
          <w:p w14:paraId="6C9DCBE2" w14:textId="77777777" w:rsidR="002D0FF1" w:rsidRDefault="002D0FF1" w:rsidP="009E210F">
            <w:r w:rsidRPr="00465F9C">
              <w:t>FS</w:t>
            </w:r>
          </w:p>
        </w:tc>
        <w:tc>
          <w:tcPr>
            <w:tcW w:w="4965" w:type="dxa"/>
          </w:tcPr>
          <w:p w14:paraId="071B697A" w14:textId="77777777" w:rsidR="002D0FF1" w:rsidRPr="0096735F" w:rsidRDefault="002D0FF1" w:rsidP="009E210F">
            <w:r w:rsidRPr="00465F9C">
              <w:t xml:space="preserve">Good level of development 60% </w:t>
            </w:r>
            <w:r w:rsidRPr="002D0FF1">
              <w:rPr>
                <w:highlight w:val="red"/>
              </w:rPr>
              <w:t>(-10%)</w:t>
            </w:r>
          </w:p>
        </w:tc>
        <w:tc>
          <w:tcPr>
            <w:tcW w:w="7655" w:type="dxa"/>
          </w:tcPr>
          <w:p w14:paraId="7CA39642" w14:textId="61B95749" w:rsidR="002D0FF1" w:rsidRPr="0096735F" w:rsidRDefault="002D0FF1" w:rsidP="009E210F">
            <w:r>
              <w:t xml:space="preserve">National Average – </w:t>
            </w:r>
            <w:r w:rsidRPr="002D0FF1">
              <w:rPr>
                <w:highlight w:val="red"/>
              </w:rPr>
              <w:t>67%</w:t>
            </w:r>
          </w:p>
        </w:tc>
      </w:tr>
      <w:tr w:rsidR="00A934E6" w:rsidRPr="0096735F" w14:paraId="15BE7496" w14:textId="77777777" w:rsidTr="009E210F">
        <w:trPr>
          <w:trHeight w:val="516"/>
        </w:trPr>
        <w:tc>
          <w:tcPr>
            <w:tcW w:w="1834" w:type="dxa"/>
          </w:tcPr>
          <w:p w14:paraId="62C7A356" w14:textId="77777777" w:rsidR="00A934E6" w:rsidRDefault="00A934E6" w:rsidP="009E210F">
            <w:r w:rsidRPr="00465F9C">
              <w:t>Phonics KS1</w:t>
            </w:r>
          </w:p>
        </w:tc>
        <w:tc>
          <w:tcPr>
            <w:tcW w:w="4965" w:type="dxa"/>
          </w:tcPr>
          <w:p w14:paraId="1FD214D4" w14:textId="77777777" w:rsidR="00A934E6" w:rsidRPr="0096735F" w:rsidRDefault="00A934E6" w:rsidP="009E210F">
            <w:r w:rsidRPr="00465F9C">
              <w:t>End of Key Stage – 97% (=)</w:t>
            </w:r>
          </w:p>
        </w:tc>
        <w:tc>
          <w:tcPr>
            <w:tcW w:w="7655" w:type="dxa"/>
          </w:tcPr>
          <w:p w14:paraId="5975C2C9" w14:textId="77777777" w:rsidR="00A934E6" w:rsidRPr="0096735F" w:rsidRDefault="00A934E6" w:rsidP="009E210F">
            <w:r w:rsidRPr="00465F9C">
              <w:t xml:space="preserve">National Average – </w:t>
            </w:r>
            <w:r w:rsidRPr="002D0FF1">
              <w:rPr>
                <w:highlight w:val="green"/>
              </w:rPr>
              <w:t>81%</w:t>
            </w:r>
          </w:p>
        </w:tc>
      </w:tr>
      <w:tr w:rsidR="00A934E6" w14:paraId="53D08E8F" w14:textId="77777777" w:rsidTr="009E210F">
        <w:trPr>
          <w:trHeight w:val="516"/>
        </w:trPr>
        <w:tc>
          <w:tcPr>
            <w:tcW w:w="1834" w:type="dxa"/>
          </w:tcPr>
          <w:p w14:paraId="468B509F" w14:textId="77777777" w:rsidR="00A934E6" w:rsidRDefault="00A934E6" w:rsidP="009E210F">
            <w:r w:rsidRPr="00465F9C">
              <w:t>MTC testing (scored 20 or more)</w:t>
            </w:r>
          </w:p>
        </w:tc>
        <w:tc>
          <w:tcPr>
            <w:tcW w:w="12620" w:type="dxa"/>
            <w:gridSpan w:val="2"/>
          </w:tcPr>
          <w:p w14:paraId="69A0AB17" w14:textId="77777777" w:rsidR="00A934E6" w:rsidRDefault="00A934E6" w:rsidP="009E210F">
            <w:r w:rsidRPr="00465F9C">
              <w:t xml:space="preserve">80% </w:t>
            </w:r>
            <w:r w:rsidRPr="00A934E6">
              <w:rPr>
                <w:highlight w:val="green"/>
              </w:rPr>
              <w:t>(+ 60%)</w:t>
            </w:r>
          </w:p>
        </w:tc>
      </w:tr>
    </w:tbl>
    <w:p w14:paraId="3F066A7D" w14:textId="01360E09" w:rsidR="00A934E6" w:rsidRPr="00A934E6" w:rsidRDefault="00A934E6" w:rsidP="00A934E6">
      <w:r>
        <w:t>SAT’s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799"/>
        <w:gridCol w:w="1232"/>
        <w:gridCol w:w="1232"/>
        <w:gridCol w:w="1169"/>
        <w:gridCol w:w="1169"/>
        <w:gridCol w:w="1141"/>
        <w:gridCol w:w="10"/>
        <w:gridCol w:w="1152"/>
        <w:gridCol w:w="1240"/>
        <w:gridCol w:w="8"/>
        <w:gridCol w:w="1249"/>
        <w:gridCol w:w="1526"/>
        <w:gridCol w:w="1527"/>
      </w:tblGrid>
      <w:tr w:rsidR="00A934E6" w14:paraId="3B4192B2" w14:textId="77777777" w:rsidTr="00745CD2">
        <w:trPr>
          <w:trHeight w:val="516"/>
        </w:trPr>
        <w:tc>
          <w:tcPr>
            <w:tcW w:w="1799" w:type="dxa"/>
          </w:tcPr>
          <w:p w14:paraId="21B568F9" w14:textId="77777777" w:rsidR="00A934E6" w:rsidRDefault="00A934E6"/>
        </w:tc>
        <w:tc>
          <w:tcPr>
            <w:tcW w:w="2464" w:type="dxa"/>
            <w:gridSpan w:val="2"/>
          </w:tcPr>
          <w:p w14:paraId="69825946" w14:textId="5EFE34C2" w:rsidR="00A934E6" w:rsidRPr="00A934E6" w:rsidRDefault="00A934E6" w:rsidP="00A934E6">
            <w:pPr>
              <w:jc w:val="center"/>
              <w:rPr>
                <w:b/>
                <w:bCs/>
              </w:rPr>
            </w:pPr>
            <w:r w:rsidRPr="00A934E6">
              <w:rPr>
                <w:b/>
                <w:bCs/>
              </w:rPr>
              <w:t>Reading</w:t>
            </w:r>
          </w:p>
        </w:tc>
        <w:tc>
          <w:tcPr>
            <w:tcW w:w="2338" w:type="dxa"/>
            <w:gridSpan w:val="2"/>
          </w:tcPr>
          <w:p w14:paraId="48A7C286" w14:textId="696F0CDC" w:rsidR="00A934E6" w:rsidRPr="00A934E6" w:rsidRDefault="00A934E6" w:rsidP="00A93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303" w:type="dxa"/>
            <w:gridSpan w:val="3"/>
          </w:tcPr>
          <w:p w14:paraId="66DE5E54" w14:textId="6F1AFFF9" w:rsidR="00A934E6" w:rsidRPr="00A934E6" w:rsidRDefault="00A934E6" w:rsidP="00A93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497" w:type="dxa"/>
            <w:gridSpan w:val="3"/>
          </w:tcPr>
          <w:p w14:paraId="7BD59993" w14:textId="75217061" w:rsidR="00A934E6" w:rsidRPr="00A934E6" w:rsidRDefault="00A934E6" w:rsidP="00A93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EPGS</w:t>
            </w:r>
          </w:p>
        </w:tc>
        <w:tc>
          <w:tcPr>
            <w:tcW w:w="3053" w:type="dxa"/>
            <w:gridSpan w:val="2"/>
          </w:tcPr>
          <w:p w14:paraId="4C718D2B" w14:textId="51DD6478" w:rsidR="00A934E6" w:rsidRPr="00A934E6" w:rsidRDefault="00A934E6" w:rsidP="00A93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Combined</w:t>
            </w:r>
          </w:p>
        </w:tc>
      </w:tr>
      <w:tr w:rsidR="00A934E6" w14:paraId="1F146B9F" w14:textId="77777777" w:rsidTr="00745CD2">
        <w:trPr>
          <w:trHeight w:val="516"/>
        </w:trPr>
        <w:tc>
          <w:tcPr>
            <w:tcW w:w="1799" w:type="dxa"/>
          </w:tcPr>
          <w:p w14:paraId="07E384ED" w14:textId="77777777" w:rsidR="00A934E6" w:rsidRDefault="00A934E6"/>
        </w:tc>
        <w:tc>
          <w:tcPr>
            <w:tcW w:w="1232" w:type="dxa"/>
          </w:tcPr>
          <w:p w14:paraId="4F0A394C" w14:textId="3286C028" w:rsidR="00A934E6" w:rsidRDefault="00A934E6" w:rsidP="00A934E6">
            <w:r>
              <w:t>School</w:t>
            </w:r>
          </w:p>
        </w:tc>
        <w:tc>
          <w:tcPr>
            <w:tcW w:w="1232" w:type="dxa"/>
          </w:tcPr>
          <w:p w14:paraId="48E1E3D8" w14:textId="3D32EFB1" w:rsidR="00A934E6" w:rsidRDefault="00A934E6" w:rsidP="00A934E6">
            <w:r>
              <w:t>National</w:t>
            </w:r>
          </w:p>
        </w:tc>
        <w:tc>
          <w:tcPr>
            <w:tcW w:w="1169" w:type="dxa"/>
          </w:tcPr>
          <w:p w14:paraId="627093FB" w14:textId="171A3AF7" w:rsidR="00A934E6" w:rsidRDefault="00A934E6">
            <w:r>
              <w:t>School</w:t>
            </w:r>
          </w:p>
        </w:tc>
        <w:tc>
          <w:tcPr>
            <w:tcW w:w="1169" w:type="dxa"/>
          </w:tcPr>
          <w:p w14:paraId="1CEEA63E" w14:textId="7523DE12" w:rsidR="00A934E6" w:rsidRDefault="00A934E6">
            <w:r>
              <w:t>National</w:t>
            </w:r>
          </w:p>
        </w:tc>
        <w:tc>
          <w:tcPr>
            <w:tcW w:w="1141" w:type="dxa"/>
          </w:tcPr>
          <w:p w14:paraId="372F95E0" w14:textId="1D45CC2E" w:rsidR="00A934E6" w:rsidRDefault="00A934E6">
            <w:r>
              <w:t>School</w:t>
            </w:r>
          </w:p>
        </w:tc>
        <w:tc>
          <w:tcPr>
            <w:tcW w:w="1162" w:type="dxa"/>
            <w:gridSpan w:val="2"/>
          </w:tcPr>
          <w:p w14:paraId="0A6C6B06" w14:textId="1246197E" w:rsidR="00A934E6" w:rsidRDefault="00A934E6">
            <w:r>
              <w:t>National</w:t>
            </w:r>
          </w:p>
        </w:tc>
        <w:tc>
          <w:tcPr>
            <w:tcW w:w="1240" w:type="dxa"/>
          </w:tcPr>
          <w:p w14:paraId="08B5E36E" w14:textId="27B79B2C" w:rsidR="00A934E6" w:rsidRDefault="00A934E6">
            <w:r>
              <w:t>School</w:t>
            </w:r>
          </w:p>
        </w:tc>
        <w:tc>
          <w:tcPr>
            <w:tcW w:w="1257" w:type="dxa"/>
            <w:gridSpan w:val="2"/>
          </w:tcPr>
          <w:p w14:paraId="7C527821" w14:textId="53C90DAD" w:rsidR="00A934E6" w:rsidRDefault="00A934E6">
            <w:r>
              <w:t>National</w:t>
            </w:r>
          </w:p>
        </w:tc>
        <w:tc>
          <w:tcPr>
            <w:tcW w:w="1526" w:type="dxa"/>
          </w:tcPr>
          <w:p w14:paraId="7190EAD3" w14:textId="1378291F" w:rsidR="00A934E6" w:rsidRDefault="00A934E6">
            <w:r>
              <w:t>School</w:t>
            </w:r>
          </w:p>
        </w:tc>
        <w:tc>
          <w:tcPr>
            <w:tcW w:w="1527" w:type="dxa"/>
          </w:tcPr>
          <w:p w14:paraId="02D7779D" w14:textId="07C153FD" w:rsidR="00A934E6" w:rsidRDefault="00A934E6">
            <w:r>
              <w:t>National</w:t>
            </w:r>
          </w:p>
        </w:tc>
      </w:tr>
      <w:tr w:rsidR="00745CD2" w14:paraId="14AAAFB8" w14:textId="77777777" w:rsidTr="00745CD2">
        <w:trPr>
          <w:trHeight w:val="483"/>
        </w:trPr>
        <w:tc>
          <w:tcPr>
            <w:tcW w:w="1799" w:type="dxa"/>
          </w:tcPr>
          <w:p w14:paraId="7E9625EA" w14:textId="77777777" w:rsidR="00745CD2" w:rsidRDefault="00745CD2" w:rsidP="00A71EA2">
            <w:r>
              <w:t>Y2 SATs</w:t>
            </w:r>
          </w:p>
        </w:tc>
        <w:tc>
          <w:tcPr>
            <w:tcW w:w="1232" w:type="dxa"/>
          </w:tcPr>
          <w:p w14:paraId="228DB423" w14:textId="5BE799DA" w:rsidR="00745CD2" w:rsidRDefault="00745CD2" w:rsidP="00A71EA2">
            <w:r>
              <w:t xml:space="preserve">76% </w:t>
            </w:r>
            <w:r w:rsidRPr="00EB2683">
              <w:rPr>
                <w:highlight w:val="green"/>
              </w:rPr>
              <w:t>(+ 10%)</w:t>
            </w:r>
          </w:p>
        </w:tc>
        <w:tc>
          <w:tcPr>
            <w:tcW w:w="1232" w:type="dxa"/>
          </w:tcPr>
          <w:p w14:paraId="4040803A" w14:textId="46FD9E0B" w:rsidR="00745CD2" w:rsidRPr="002D0FF1" w:rsidRDefault="00745CD2" w:rsidP="00A71EA2">
            <w:pPr>
              <w:rPr>
                <w:highlight w:val="green"/>
              </w:rPr>
            </w:pPr>
            <w:r w:rsidRPr="002D0FF1">
              <w:rPr>
                <w:highlight w:val="green"/>
              </w:rPr>
              <w:t>69%</w:t>
            </w:r>
          </w:p>
        </w:tc>
        <w:tc>
          <w:tcPr>
            <w:tcW w:w="1169" w:type="dxa"/>
          </w:tcPr>
          <w:p w14:paraId="5776273B" w14:textId="77777777" w:rsidR="00745CD2" w:rsidRDefault="00745CD2" w:rsidP="00A71EA2">
            <w:r>
              <w:t>76% (</w:t>
            </w:r>
            <w:r w:rsidRPr="00EB2683">
              <w:rPr>
                <w:highlight w:val="green"/>
              </w:rPr>
              <w:t>+19%)</w:t>
            </w:r>
          </w:p>
        </w:tc>
        <w:tc>
          <w:tcPr>
            <w:tcW w:w="1169" w:type="dxa"/>
          </w:tcPr>
          <w:p w14:paraId="3597DED6" w14:textId="7B05ABF5" w:rsidR="00745CD2" w:rsidRDefault="002D0FF1" w:rsidP="00A71EA2">
            <w:r w:rsidRPr="002D0FF1">
              <w:rPr>
                <w:highlight w:val="green"/>
              </w:rPr>
              <w:t>61%</w:t>
            </w:r>
          </w:p>
        </w:tc>
        <w:tc>
          <w:tcPr>
            <w:tcW w:w="1141" w:type="dxa"/>
          </w:tcPr>
          <w:p w14:paraId="17A4D5EC" w14:textId="77777777" w:rsidR="00745CD2" w:rsidRDefault="00745CD2" w:rsidP="00A71EA2">
            <w:r>
              <w:t xml:space="preserve"> 72% </w:t>
            </w:r>
            <w:r w:rsidRPr="00EB2683">
              <w:rPr>
                <w:highlight w:val="green"/>
              </w:rPr>
              <w:t>(+2%)</w:t>
            </w:r>
          </w:p>
        </w:tc>
        <w:tc>
          <w:tcPr>
            <w:tcW w:w="1162" w:type="dxa"/>
            <w:gridSpan w:val="2"/>
          </w:tcPr>
          <w:p w14:paraId="77213956" w14:textId="04EE0584" w:rsidR="00745CD2" w:rsidRDefault="002D0FF1" w:rsidP="00A71EA2">
            <w:r>
              <w:t>72%</w:t>
            </w:r>
          </w:p>
        </w:tc>
        <w:tc>
          <w:tcPr>
            <w:tcW w:w="2497" w:type="dxa"/>
            <w:gridSpan w:val="3"/>
          </w:tcPr>
          <w:p w14:paraId="62621F29" w14:textId="245FB8B0" w:rsidR="00745CD2" w:rsidRDefault="00745CD2" w:rsidP="00A71EA2">
            <w:r>
              <w:t xml:space="preserve"> Test not administered</w:t>
            </w:r>
          </w:p>
        </w:tc>
        <w:tc>
          <w:tcPr>
            <w:tcW w:w="1526" w:type="dxa"/>
          </w:tcPr>
          <w:p w14:paraId="0B861B2B" w14:textId="77777777" w:rsidR="00745CD2" w:rsidRDefault="00745CD2" w:rsidP="00A71EA2">
            <w:r>
              <w:t xml:space="preserve">72% </w:t>
            </w:r>
            <w:r w:rsidRPr="00EB2683">
              <w:rPr>
                <w:highlight w:val="green"/>
              </w:rPr>
              <w:t>(+19%)</w:t>
            </w:r>
          </w:p>
        </w:tc>
        <w:tc>
          <w:tcPr>
            <w:tcW w:w="1527" w:type="dxa"/>
          </w:tcPr>
          <w:p w14:paraId="69524840" w14:textId="44E418FF" w:rsidR="00745CD2" w:rsidRDefault="002D0FF1" w:rsidP="00A71EA2">
            <w:r w:rsidRPr="002D0FF1">
              <w:rPr>
                <w:highlight w:val="green"/>
              </w:rPr>
              <w:t>56%</w:t>
            </w:r>
          </w:p>
        </w:tc>
      </w:tr>
      <w:tr w:rsidR="00745CD2" w14:paraId="201BF062" w14:textId="77777777" w:rsidTr="00745CD2">
        <w:trPr>
          <w:trHeight w:val="549"/>
        </w:trPr>
        <w:tc>
          <w:tcPr>
            <w:tcW w:w="1799" w:type="dxa"/>
          </w:tcPr>
          <w:p w14:paraId="7323F1F8" w14:textId="77777777" w:rsidR="00745CD2" w:rsidRDefault="00745CD2" w:rsidP="00A71EA2">
            <w:r>
              <w:t>Y6 SATs</w:t>
            </w:r>
          </w:p>
        </w:tc>
        <w:tc>
          <w:tcPr>
            <w:tcW w:w="1232" w:type="dxa"/>
          </w:tcPr>
          <w:p w14:paraId="38A1824F" w14:textId="355EA958" w:rsidR="00745CD2" w:rsidRPr="0096735F" w:rsidRDefault="00745CD2" w:rsidP="00A71EA2">
            <w:r>
              <w:t xml:space="preserve">52% </w:t>
            </w:r>
            <w:r w:rsidRPr="00EB2683">
              <w:rPr>
                <w:highlight w:val="green"/>
              </w:rPr>
              <w:t>(+5%)</w:t>
            </w:r>
          </w:p>
        </w:tc>
        <w:tc>
          <w:tcPr>
            <w:tcW w:w="1232" w:type="dxa"/>
          </w:tcPr>
          <w:p w14:paraId="4B547CC8" w14:textId="4CE2C470" w:rsidR="00745CD2" w:rsidRPr="0096735F" w:rsidRDefault="002D0FF1" w:rsidP="00A71EA2">
            <w:r w:rsidRPr="002D0FF1">
              <w:rPr>
                <w:highlight w:val="red"/>
              </w:rPr>
              <w:t>73%</w:t>
            </w:r>
          </w:p>
        </w:tc>
        <w:tc>
          <w:tcPr>
            <w:tcW w:w="1169" w:type="dxa"/>
          </w:tcPr>
          <w:p w14:paraId="55432ABD" w14:textId="77777777" w:rsidR="00745CD2" w:rsidRPr="0096735F" w:rsidRDefault="00745CD2" w:rsidP="00A71EA2">
            <w:r>
              <w:t xml:space="preserve">80% </w:t>
            </w:r>
            <w:r w:rsidRPr="00EB2683">
              <w:rPr>
                <w:highlight w:val="green"/>
              </w:rPr>
              <w:t>(+40%)</w:t>
            </w:r>
          </w:p>
        </w:tc>
        <w:tc>
          <w:tcPr>
            <w:tcW w:w="1169" w:type="dxa"/>
          </w:tcPr>
          <w:p w14:paraId="7ECBAB70" w14:textId="6D42E90D" w:rsidR="00745CD2" w:rsidRPr="0096735F" w:rsidRDefault="002D0FF1" w:rsidP="00A71EA2">
            <w:r w:rsidRPr="002D0FF1">
              <w:rPr>
                <w:highlight w:val="green"/>
              </w:rPr>
              <w:t>71%</w:t>
            </w:r>
          </w:p>
        </w:tc>
        <w:tc>
          <w:tcPr>
            <w:tcW w:w="1141" w:type="dxa"/>
          </w:tcPr>
          <w:p w14:paraId="4159D2C1" w14:textId="77777777" w:rsidR="00745CD2" w:rsidRPr="0096735F" w:rsidRDefault="00745CD2" w:rsidP="00A71EA2">
            <w:r>
              <w:t xml:space="preserve">69% </w:t>
            </w:r>
            <w:r w:rsidRPr="00EB2683">
              <w:rPr>
                <w:highlight w:val="green"/>
              </w:rPr>
              <w:t>(+9%)</w:t>
            </w:r>
          </w:p>
        </w:tc>
        <w:tc>
          <w:tcPr>
            <w:tcW w:w="1162" w:type="dxa"/>
            <w:gridSpan w:val="2"/>
          </w:tcPr>
          <w:p w14:paraId="60602D01" w14:textId="4DBFBFD8" w:rsidR="00745CD2" w:rsidRPr="0096735F" w:rsidRDefault="002D0FF1" w:rsidP="00A71EA2">
            <w:r w:rsidRPr="002D0FF1">
              <w:rPr>
                <w:highlight w:val="red"/>
              </w:rPr>
              <w:t>73%</w:t>
            </w:r>
          </w:p>
        </w:tc>
        <w:tc>
          <w:tcPr>
            <w:tcW w:w="1240" w:type="dxa"/>
          </w:tcPr>
          <w:p w14:paraId="652B9A77" w14:textId="77777777" w:rsidR="00745CD2" w:rsidRPr="0096735F" w:rsidRDefault="00745CD2" w:rsidP="00A71EA2">
            <w:r>
              <w:t xml:space="preserve">69% </w:t>
            </w:r>
            <w:r w:rsidRPr="00EB2683">
              <w:rPr>
                <w:highlight w:val="green"/>
              </w:rPr>
              <w:t>(+19%)</w:t>
            </w:r>
          </w:p>
        </w:tc>
        <w:tc>
          <w:tcPr>
            <w:tcW w:w="1257" w:type="dxa"/>
            <w:gridSpan w:val="2"/>
          </w:tcPr>
          <w:p w14:paraId="2075246E" w14:textId="735D304E" w:rsidR="00745CD2" w:rsidRPr="0096735F" w:rsidRDefault="002D0FF1" w:rsidP="00A71EA2">
            <w:r w:rsidRPr="002D0FF1">
              <w:rPr>
                <w:highlight w:val="red"/>
              </w:rPr>
              <w:t>72%</w:t>
            </w:r>
          </w:p>
        </w:tc>
        <w:tc>
          <w:tcPr>
            <w:tcW w:w="1526" w:type="dxa"/>
          </w:tcPr>
          <w:p w14:paraId="26B3F852" w14:textId="77777777" w:rsidR="00745CD2" w:rsidRPr="0096735F" w:rsidRDefault="00745CD2" w:rsidP="00745CD2">
            <w:pPr>
              <w:tabs>
                <w:tab w:val="right" w:pos="2477"/>
              </w:tabs>
            </w:pPr>
            <w:r>
              <w:t xml:space="preserve">48% </w:t>
            </w:r>
            <w:r w:rsidRPr="00EB2683">
              <w:rPr>
                <w:highlight w:val="green"/>
              </w:rPr>
              <w:t>(21%)</w:t>
            </w:r>
            <w:r>
              <w:rPr>
                <w:highlight w:val="green"/>
              </w:rPr>
              <w:tab/>
            </w:r>
          </w:p>
        </w:tc>
        <w:tc>
          <w:tcPr>
            <w:tcW w:w="1527" w:type="dxa"/>
          </w:tcPr>
          <w:p w14:paraId="4903568B" w14:textId="0EFB7AF5" w:rsidR="00745CD2" w:rsidRPr="0096735F" w:rsidRDefault="002D0FF1" w:rsidP="00745CD2">
            <w:pPr>
              <w:tabs>
                <w:tab w:val="right" w:pos="2477"/>
              </w:tabs>
            </w:pPr>
            <w:r w:rsidRPr="002D0FF1">
              <w:rPr>
                <w:highlight w:val="red"/>
              </w:rPr>
              <w:t>59%</w:t>
            </w:r>
          </w:p>
        </w:tc>
      </w:tr>
      <w:tr w:rsidR="00745CD2" w14:paraId="358889DF" w14:textId="77777777" w:rsidTr="00745CD2">
        <w:trPr>
          <w:trHeight w:val="549"/>
        </w:trPr>
        <w:tc>
          <w:tcPr>
            <w:tcW w:w="1799" w:type="dxa"/>
          </w:tcPr>
          <w:p w14:paraId="6AE1A9EE" w14:textId="77777777" w:rsidR="00745CD2" w:rsidRDefault="00745CD2" w:rsidP="00A71EA2">
            <w:r>
              <w:t>KS2 Average scaled scores</w:t>
            </w:r>
          </w:p>
        </w:tc>
        <w:tc>
          <w:tcPr>
            <w:tcW w:w="1232" w:type="dxa"/>
          </w:tcPr>
          <w:p w14:paraId="116F5CFB" w14:textId="77777777" w:rsidR="00745CD2" w:rsidRPr="0096735F" w:rsidRDefault="00745CD2" w:rsidP="00A71EA2"/>
        </w:tc>
        <w:tc>
          <w:tcPr>
            <w:tcW w:w="1232" w:type="dxa"/>
          </w:tcPr>
          <w:p w14:paraId="4C56F44E" w14:textId="709EA6BC" w:rsidR="00745CD2" w:rsidRPr="0096735F" w:rsidRDefault="00745CD2" w:rsidP="00A71EA2"/>
        </w:tc>
        <w:tc>
          <w:tcPr>
            <w:tcW w:w="1169" w:type="dxa"/>
          </w:tcPr>
          <w:p w14:paraId="0C9CAF76" w14:textId="77777777" w:rsidR="00745CD2" w:rsidRPr="0096735F" w:rsidRDefault="00745CD2" w:rsidP="00A71EA2"/>
        </w:tc>
        <w:tc>
          <w:tcPr>
            <w:tcW w:w="1169" w:type="dxa"/>
          </w:tcPr>
          <w:p w14:paraId="3EE728C8" w14:textId="59437998" w:rsidR="00745CD2" w:rsidRPr="0096735F" w:rsidRDefault="00745CD2" w:rsidP="00A71EA2"/>
        </w:tc>
        <w:tc>
          <w:tcPr>
            <w:tcW w:w="1151" w:type="dxa"/>
            <w:gridSpan w:val="2"/>
          </w:tcPr>
          <w:p w14:paraId="2DD25E4A" w14:textId="77777777" w:rsidR="00745CD2" w:rsidRPr="0096735F" w:rsidRDefault="00745CD2" w:rsidP="00A71EA2"/>
        </w:tc>
        <w:tc>
          <w:tcPr>
            <w:tcW w:w="1152" w:type="dxa"/>
          </w:tcPr>
          <w:p w14:paraId="45144F55" w14:textId="130B268B" w:rsidR="00745CD2" w:rsidRPr="0096735F" w:rsidRDefault="00745CD2" w:rsidP="00A71EA2"/>
        </w:tc>
        <w:tc>
          <w:tcPr>
            <w:tcW w:w="1248" w:type="dxa"/>
            <w:gridSpan w:val="2"/>
          </w:tcPr>
          <w:p w14:paraId="0FB38D8C" w14:textId="77777777" w:rsidR="00745CD2" w:rsidRPr="0096735F" w:rsidRDefault="00745CD2" w:rsidP="00A71EA2"/>
        </w:tc>
        <w:tc>
          <w:tcPr>
            <w:tcW w:w="1249" w:type="dxa"/>
          </w:tcPr>
          <w:p w14:paraId="37343F14" w14:textId="7CDB9A18" w:rsidR="00745CD2" w:rsidRPr="0096735F" w:rsidRDefault="00745CD2" w:rsidP="00A71EA2"/>
        </w:tc>
        <w:tc>
          <w:tcPr>
            <w:tcW w:w="1526" w:type="dxa"/>
          </w:tcPr>
          <w:p w14:paraId="037513D7" w14:textId="77777777" w:rsidR="00745CD2" w:rsidRPr="0096735F" w:rsidRDefault="00745CD2" w:rsidP="00A71EA2"/>
        </w:tc>
        <w:tc>
          <w:tcPr>
            <w:tcW w:w="1527" w:type="dxa"/>
          </w:tcPr>
          <w:p w14:paraId="6A64BBE1" w14:textId="46F6C1C9" w:rsidR="00745CD2" w:rsidRPr="0096735F" w:rsidRDefault="00745CD2" w:rsidP="00A71EA2"/>
        </w:tc>
      </w:tr>
      <w:tr w:rsidR="00745CD2" w14:paraId="31D3D06F" w14:textId="77777777" w:rsidTr="00745CD2">
        <w:trPr>
          <w:trHeight w:val="549"/>
        </w:trPr>
        <w:tc>
          <w:tcPr>
            <w:tcW w:w="1799" w:type="dxa"/>
          </w:tcPr>
          <w:p w14:paraId="521DEF66" w14:textId="77777777" w:rsidR="00745CD2" w:rsidRDefault="00745CD2" w:rsidP="00A71EA2">
            <w:r>
              <w:t>Disadvantaged scaled scores</w:t>
            </w:r>
          </w:p>
        </w:tc>
        <w:tc>
          <w:tcPr>
            <w:tcW w:w="1232" w:type="dxa"/>
          </w:tcPr>
          <w:p w14:paraId="64366F1E" w14:textId="77777777" w:rsidR="00745CD2" w:rsidRPr="0096735F" w:rsidRDefault="00745CD2" w:rsidP="00A71EA2">
            <w:pPr>
              <w:rPr>
                <w:highlight w:val="yellow"/>
              </w:rPr>
            </w:pPr>
          </w:p>
        </w:tc>
        <w:tc>
          <w:tcPr>
            <w:tcW w:w="1232" w:type="dxa"/>
          </w:tcPr>
          <w:p w14:paraId="093E37A3" w14:textId="11FAF930" w:rsidR="00745CD2" w:rsidRPr="0096735F" w:rsidRDefault="00745CD2" w:rsidP="00A71EA2">
            <w:pPr>
              <w:rPr>
                <w:highlight w:val="yellow"/>
              </w:rPr>
            </w:pPr>
          </w:p>
        </w:tc>
        <w:tc>
          <w:tcPr>
            <w:tcW w:w="1169" w:type="dxa"/>
          </w:tcPr>
          <w:p w14:paraId="074F5413" w14:textId="77777777" w:rsidR="00745CD2" w:rsidRPr="0096735F" w:rsidRDefault="00745CD2" w:rsidP="00A71EA2"/>
        </w:tc>
        <w:tc>
          <w:tcPr>
            <w:tcW w:w="1169" w:type="dxa"/>
          </w:tcPr>
          <w:p w14:paraId="32E92548" w14:textId="35227E2D" w:rsidR="00745CD2" w:rsidRPr="0096735F" w:rsidRDefault="00745CD2" w:rsidP="00A71EA2"/>
        </w:tc>
        <w:tc>
          <w:tcPr>
            <w:tcW w:w="1151" w:type="dxa"/>
            <w:gridSpan w:val="2"/>
          </w:tcPr>
          <w:p w14:paraId="6DDA7898" w14:textId="77777777" w:rsidR="00745CD2" w:rsidRPr="0096735F" w:rsidRDefault="00745CD2" w:rsidP="00A71EA2"/>
        </w:tc>
        <w:tc>
          <w:tcPr>
            <w:tcW w:w="1152" w:type="dxa"/>
          </w:tcPr>
          <w:p w14:paraId="3548166B" w14:textId="4CD04B02" w:rsidR="00745CD2" w:rsidRPr="0096735F" w:rsidRDefault="00745CD2" w:rsidP="00A71EA2"/>
        </w:tc>
        <w:tc>
          <w:tcPr>
            <w:tcW w:w="1248" w:type="dxa"/>
            <w:gridSpan w:val="2"/>
          </w:tcPr>
          <w:p w14:paraId="3D12C4EB" w14:textId="77777777" w:rsidR="00745CD2" w:rsidRPr="0096735F" w:rsidRDefault="00745CD2" w:rsidP="00A71EA2"/>
        </w:tc>
        <w:tc>
          <w:tcPr>
            <w:tcW w:w="1249" w:type="dxa"/>
          </w:tcPr>
          <w:p w14:paraId="2990E9DA" w14:textId="68CA89BB" w:rsidR="00745CD2" w:rsidRPr="0096735F" w:rsidRDefault="00745CD2" w:rsidP="00A71EA2"/>
        </w:tc>
        <w:tc>
          <w:tcPr>
            <w:tcW w:w="1526" w:type="dxa"/>
          </w:tcPr>
          <w:p w14:paraId="42671073" w14:textId="77777777" w:rsidR="00745CD2" w:rsidRPr="0096735F" w:rsidRDefault="00745CD2" w:rsidP="00A71EA2"/>
        </w:tc>
        <w:tc>
          <w:tcPr>
            <w:tcW w:w="1527" w:type="dxa"/>
          </w:tcPr>
          <w:p w14:paraId="37682803" w14:textId="21909313" w:rsidR="00745CD2" w:rsidRPr="0096735F" w:rsidRDefault="00745CD2" w:rsidP="00A71EA2"/>
        </w:tc>
      </w:tr>
      <w:tr w:rsidR="00745CD2" w14:paraId="22E4A23D" w14:textId="77777777" w:rsidTr="00745CD2">
        <w:trPr>
          <w:trHeight w:val="549"/>
        </w:trPr>
        <w:tc>
          <w:tcPr>
            <w:tcW w:w="1799" w:type="dxa"/>
          </w:tcPr>
          <w:p w14:paraId="25F007E5" w14:textId="77777777" w:rsidR="00745CD2" w:rsidRDefault="00745CD2" w:rsidP="00A71EA2">
            <w:r>
              <w:t>KS2 Average Progress</w:t>
            </w:r>
          </w:p>
        </w:tc>
        <w:tc>
          <w:tcPr>
            <w:tcW w:w="1232" w:type="dxa"/>
          </w:tcPr>
          <w:p w14:paraId="5CB81B8C" w14:textId="77777777" w:rsidR="00745CD2" w:rsidRPr="0096735F" w:rsidRDefault="00745CD2" w:rsidP="00A71EA2"/>
        </w:tc>
        <w:tc>
          <w:tcPr>
            <w:tcW w:w="1232" w:type="dxa"/>
          </w:tcPr>
          <w:p w14:paraId="2FF18815" w14:textId="1DCD0150" w:rsidR="00745CD2" w:rsidRPr="0096735F" w:rsidRDefault="00745CD2" w:rsidP="00A71EA2"/>
        </w:tc>
        <w:tc>
          <w:tcPr>
            <w:tcW w:w="1169" w:type="dxa"/>
          </w:tcPr>
          <w:p w14:paraId="2618E615" w14:textId="77777777" w:rsidR="00745CD2" w:rsidRPr="0096735F" w:rsidRDefault="00745CD2" w:rsidP="00A71EA2"/>
        </w:tc>
        <w:tc>
          <w:tcPr>
            <w:tcW w:w="1169" w:type="dxa"/>
          </w:tcPr>
          <w:p w14:paraId="5FFE6CDC" w14:textId="71B41F12" w:rsidR="00745CD2" w:rsidRPr="0096735F" w:rsidRDefault="00745CD2" w:rsidP="00A71EA2"/>
        </w:tc>
        <w:tc>
          <w:tcPr>
            <w:tcW w:w="1151" w:type="dxa"/>
            <w:gridSpan w:val="2"/>
          </w:tcPr>
          <w:p w14:paraId="4AE4BAD7" w14:textId="77777777" w:rsidR="00745CD2" w:rsidRPr="0096735F" w:rsidRDefault="00745CD2" w:rsidP="00A71EA2"/>
        </w:tc>
        <w:tc>
          <w:tcPr>
            <w:tcW w:w="1152" w:type="dxa"/>
          </w:tcPr>
          <w:p w14:paraId="3EA32EF4" w14:textId="106D445F" w:rsidR="00745CD2" w:rsidRPr="0096735F" w:rsidRDefault="00745CD2" w:rsidP="00A71EA2"/>
        </w:tc>
        <w:tc>
          <w:tcPr>
            <w:tcW w:w="1248" w:type="dxa"/>
            <w:gridSpan w:val="2"/>
          </w:tcPr>
          <w:p w14:paraId="6D2A01D7" w14:textId="77777777" w:rsidR="00745CD2" w:rsidRPr="0096735F" w:rsidRDefault="00745CD2" w:rsidP="00A71EA2"/>
        </w:tc>
        <w:tc>
          <w:tcPr>
            <w:tcW w:w="1249" w:type="dxa"/>
          </w:tcPr>
          <w:p w14:paraId="154D2A39" w14:textId="3092072C" w:rsidR="00745CD2" w:rsidRPr="0096735F" w:rsidRDefault="00745CD2" w:rsidP="00A71EA2"/>
        </w:tc>
        <w:tc>
          <w:tcPr>
            <w:tcW w:w="1526" w:type="dxa"/>
          </w:tcPr>
          <w:p w14:paraId="1677D8A7" w14:textId="77777777" w:rsidR="00745CD2" w:rsidRPr="0096735F" w:rsidRDefault="00745CD2" w:rsidP="00A71EA2"/>
        </w:tc>
        <w:tc>
          <w:tcPr>
            <w:tcW w:w="1527" w:type="dxa"/>
          </w:tcPr>
          <w:p w14:paraId="4C598F8B" w14:textId="3951E981" w:rsidR="00745CD2" w:rsidRPr="0096735F" w:rsidRDefault="00745CD2" w:rsidP="00A71EA2"/>
        </w:tc>
      </w:tr>
      <w:tr w:rsidR="00745CD2" w14:paraId="6D387107" w14:textId="77777777" w:rsidTr="00745CD2">
        <w:trPr>
          <w:trHeight w:val="549"/>
        </w:trPr>
        <w:tc>
          <w:tcPr>
            <w:tcW w:w="1799" w:type="dxa"/>
          </w:tcPr>
          <w:p w14:paraId="3830B05D" w14:textId="77777777" w:rsidR="00745CD2" w:rsidRDefault="00745CD2" w:rsidP="00A71EA2">
            <w:r>
              <w:t>Disadvantaged progress</w:t>
            </w:r>
          </w:p>
        </w:tc>
        <w:tc>
          <w:tcPr>
            <w:tcW w:w="1232" w:type="dxa"/>
          </w:tcPr>
          <w:p w14:paraId="2DAC9759" w14:textId="77777777" w:rsidR="00745CD2" w:rsidRPr="0096735F" w:rsidRDefault="00745CD2" w:rsidP="00A71EA2"/>
        </w:tc>
        <w:tc>
          <w:tcPr>
            <w:tcW w:w="1232" w:type="dxa"/>
          </w:tcPr>
          <w:p w14:paraId="4C2554B6" w14:textId="7E30B56A" w:rsidR="00745CD2" w:rsidRPr="0096735F" w:rsidRDefault="00745CD2" w:rsidP="00A71EA2"/>
        </w:tc>
        <w:tc>
          <w:tcPr>
            <w:tcW w:w="1169" w:type="dxa"/>
          </w:tcPr>
          <w:p w14:paraId="547F0D55" w14:textId="77777777" w:rsidR="00745CD2" w:rsidRPr="0096735F" w:rsidRDefault="00745CD2" w:rsidP="00A71EA2"/>
        </w:tc>
        <w:tc>
          <w:tcPr>
            <w:tcW w:w="1169" w:type="dxa"/>
          </w:tcPr>
          <w:p w14:paraId="4F2FB856" w14:textId="2DD80D32" w:rsidR="00745CD2" w:rsidRPr="0096735F" w:rsidRDefault="00745CD2" w:rsidP="00A71EA2"/>
        </w:tc>
        <w:tc>
          <w:tcPr>
            <w:tcW w:w="1151" w:type="dxa"/>
            <w:gridSpan w:val="2"/>
          </w:tcPr>
          <w:p w14:paraId="338E8B10" w14:textId="77777777" w:rsidR="00745CD2" w:rsidRPr="0096735F" w:rsidRDefault="00745CD2" w:rsidP="00A71EA2"/>
        </w:tc>
        <w:tc>
          <w:tcPr>
            <w:tcW w:w="1152" w:type="dxa"/>
          </w:tcPr>
          <w:p w14:paraId="74BF9C7F" w14:textId="104148B2" w:rsidR="00745CD2" w:rsidRPr="0096735F" w:rsidRDefault="00745CD2" w:rsidP="00A71EA2"/>
        </w:tc>
        <w:tc>
          <w:tcPr>
            <w:tcW w:w="1248" w:type="dxa"/>
            <w:gridSpan w:val="2"/>
          </w:tcPr>
          <w:p w14:paraId="30529AC6" w14:textId="77777777" w:rsidR="00745CD2" w:rsidRPr="0096735F" w:rsidRDefault="00745CD2" w:rsidP="00A71EA2"/>
        </w:tc>
        <w:tc>
          <w:tcPr>
            <w:tcW w:w="1249" w:type="dxa"/>
          </w:tcPr>
          <w:p w14:paraId="75E3AB7F" w14:textId="11A6352C" w:rsidR="00745CD2" w:rsidRPr="0096735F" w:rsidRDefault="00745CD2" w:rsidP="00A71EA2"/>
        </w:tc>
        <w:tc>
          <w:tcPr>
            <w:tcW w:w="1526" w:type="dxa"/>
          </w:tcPr>
          <w:p w14:paraId="3408BB4C" w14:textId="77777777" w:rsidR="00745CD2" w:rsidRPr="0096735F" w:rsidRDefault="00745CD2" w:rsidP="00A71EA2"/>
        </w:tc>
        <w:tc>
          <w:tcPr>
            <w:tcW w:w="1527" w:type="dxa"/>
          </w:tcPr>
          <w:p w14:paraId="3A370E9D" w14:textId="5F5AA8C0" w:rsidR="00745CD2" w:rsidRPr="0096735F" w:rsidRDefault="00745CD2" w:rsidP="00A71EA2"/>
        </w:tc>
      </w:tr>
      <w:tr w:rsidR="00745CD2" w14:paraId="4A6C8338" w14:textId="77777777" w:rsidTr="00AE547E">
        <w:trPr>
          <w:trHeight w:val="549"/>
        </w:trPr>
        <w:tc>
          <w:tcPr>
            <w:tcW w:w="1799" w:type="dxa"/>
          </w:tcPr>
          <w:p w14:paraId="29550B23" w14:textId="77777777" w:rsidR="00745CD2" w:rsidRDefault="00745CD2" w:rsidP="00A71EA2">
            <w:r>
              <w:t>Number of pupils achieving high level of attainment</w:t>
            </w:r>
          </w:p>
        </w:tc>
        <w:tc>
          <w:tcPr>
            <w:tcW w:w="1232" w:type="dxa"/>
          </w:tcPr>
          <w:p w14:paraId="38AD9159" w14:textId="778EE107" w:rsidR="00745CD2" w:rsidRPr="0096735F" w:rsidRDefault="00AE547E" w:rsidP="00A71EA2">
            <w:r>
              <w:t>0%</w:t>
            </w:r>
          </w:p>
        </w:tc>
        <w:tc>
          <w:tcPr>
            <w:tcW w:w="1232" w:type="dxa"/>
            <w:shd w:val="clear" w:color="auto" w:fill="595959" w:themeFill="text1" w:themeFillTint="A6"/>
          </w:tcPr>
          <w:p w14:paraId="0E861E2A" w14:textId="4D75BBAC" w:rsidR="00745CD2" w:rsidRPr="0096735F" w:rsidRDefault="00745CD2" w:rsidP="00A71EA2"/>
        </w:tc>
        <w:tc>
          <w:tcPr>
            <w:tcW w:w="1169" w:type="dxa"/>
          </w:tcPr>
          <w:p w14:paraId="3C98B9C6" w14:textId="71EB7E6D" w:rsidR="00745CD2" w:rsidRPr="0096735F" w:rsidRDefault="00AE547E" w:rsidP="00A71EA2">
            <w:r>
              <w:t>11%</w:t>
            </w:r>
          </w:p>
        </w:tc>
        <w:tc>
          <w:tcPr>
            <w:tcW w:w="1169" w:type="dxa"/>
            <w:shd w:val="clear" w:color="auto" w:fill="595959" w:themeFill="text1" w:themeFillTint="A6"/>
          </w:tcPr>
          <w:p w14:paraId="4A3FDCCA" w14:textId="5B96A083" w:rsidR="00745CD2" w:rsidRPr="0096735F" w:rsidRDefault="00745CD2" w:rsidP="00A71EA2"/>
        </w:tc>
        <w:tc>
          <w:tcPr>
            <w:tcW w:w="1151" w:type="dxa"/>
            <w:gridSpan w:val="2"/>
          </w:tcPr>
          <w:p w14:paraId="5D4DDF8C" w14:textId="1E662458" w:rsidR="00745CD2" w:rsidRPr="0096735F" w:rsidRDefault="00AE547E" w:rsidP="00A71EA2">
            <w:r>
              <w:t>0%</w:t>
            </w:r>
          </w:p>
        </w:tc>
        <w:tc>
          <w:tcPr>
            <w:tcW w:w="1152" w:type="dxa"/>
            <w:shd w:val="clear" w:color="auto" w:fill="595959" w:themeFill="text1" w:themeFillTint="A6"/>
          </w:tcPr>
          <w:p w14:paraId="0F061FAE" w14:textId="45760FED" w:rsidR="00745CD2" w:rsidRPr="0096735F" w:rsidRDefault="00745CD2" w:rsidP="00A71EA2"/>
        </w:tc>
        <w:tc>
          <w:tcPr>
            <w:tcW w:w="1248" w:type="dxa"/>
            <w:gridSpan w:val="2"/>
          </w:tcPr>
          <w:p w14:paraId="4BCBFD45" w14:textId="705946ED" w:rsidR="00745CD2" w:rsidRPr="0096735F" w:rsidRDefault="00AE547E" w:rsidP="00A71EA2">
            <w:r>
              <w:t>0%</w:t>
            </w:r>
          </w:p>
        </w:tc>
        <w:tc>
          <w:tcPr>
            <w:tcW w:w="1249" w:type="dxa"/>
            <w:shd w:val="clear" w:color="auto" w:fill="595959" w:themeFill="text1" w:themeFillTint="A6"/>
          </w:tcPr>
          <w:p w14:paraId="78FA1812" w14:textId="2B6E9161" w:rsidR="00745CD2" w:rsidRPr="0096735F" w:rsidRDefault="00745CD2" w:rsidP="00A71EA2"/>
        </w:tc>
        <w:tc>
          <w:tcPr>
            <w:tcW w:w="1526" w:type="dxa"/>
          </w:tcPr>
          <w:p w14:paraId="209A7E9E" w14:textId="04CEEB7D" w:rsidR="00745CD2" w:rsidRPr="0096735F" w:rsidRDefault="00AE547E" w:rsidP="00A71EA2">
            <w:r>
              <w:t>0%</w:t>
            </w:r>
          </w:p>
        </w:tc>
        <w:tc>
          <w:tcPr>
            <w:tcW w:w="1527" w:type="dxa"/>
            <w:shd w:val="clear" w:color="auto" w:fill="595959" w:themeFill="text1" w:themeFillTint="A6"/>
          </w:tcPr>
          <w:p w14:paraId="2D7A5DC8" w14:textId="0522BC32" w:rsidR="00745CD2" w:rsidRPr="0096735F" w:rsidRDefault="00745CD2" w:rsidP="00A71EA2"/>
        </w:tc>
      </w:tr>
    </w:tbl>
    <w:p w14:paraId="14DEFB63" w14:textId="11956775" w:rsidR="002778D4" w:rsidRDefault="00EB2683">
      <w:r>
        <w:t xml:space="preserve">(+/- - from previous </w:t>
      </w:r>
      <w:proofErr w:type="spellStart"/>
      <w:r>
        <w:t>yr</w:t>
      </w:r>
      <w:proofErr w:type="spellEnd"/>
      <w:r>
        <w:t>)</w:t>
      </w:r>
    </w:p>
    <w:sectPr w:rsidR="002778D4" w:rsidSect="004C33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E"/>
    <w:rsid w:val="0002084C"/>
    <w:rsid w:val="00020E87"/>
    <w:rsid w:val="000C0553"/>
    <w:rsid w:val="000D0D6C"/>
    <w:rsid w:val="000E14FE"/>
    <w:rsid w:val="00147410"/>
    <w:rsid w:val="00157604"/>
    <w:rsid w:val="001B1CD0"/>
    <w:rsid w:val="002778D4"/>
    <w:rsid w:val="002D0FF1"/>
    <w:rsid w:val="00371506"/>
    <w:rsid w:val="003762BE"/>
    <w:rsid w:val="003D0469"/>
    <w:rsid w:val="003E7EDF"/>
    <w:rsid w:val="00400A68"/>
    <w:rsid w:val="00447C3F"/>
    <w:rsid w:val="00477B9A"/>
    <w:rsid w:val="004B4E99"/>
    <w:rsid w:val="004C3354"/>
    <w:rsid w:val="004E4D35"/>
    <w:rsid w:val="004F518C"/>
    <w:rsid w:val="005067C1"/>
    <w:rsid w:val="00513A6E"/>
    <w:rsid w:val="0055375E"/>
    <w:rsid w:val="00593F25"/>
    <w:rsid w:val="005C3F68"/>
    <w:rsid w:val="006A0F0D"/>
    <w:rsid w:val="006A755B"/>
    <w:rsid w:val="006B1B5E"/>
    <w:rsid w:val="006F50DA"/>
    <w:rsid w:val="007444A4"/>
    <w:rsid w:val="00745CD2"/>
    <w:rsid w:val="007F185A"/>
    <w:rsid w:val="007F21DA"/>
    <w:rsid w:val="007F64BE"/>
    <w:rsid w:val="008151CC"/>
    <w:rsid w:val="00816F60"/>
    <w:rsid w:val="0088120D"/>
    <w:rsid w:val="00882B96"/>
    <w:rsid w:val="00893AE8"/>
    <w:rsid w:val="008C1DCE"/>
    <w:rsid w:val="008C5E3D"/>
    <w:rsid w:val="008C5F22"/>
    <w:rsid w:val="008E5A68"/>
    <w:rsid w:val="008E6C3C"/>
    <w:rsid w:val="00922A27"/>
    <w:rsid w:val="009421FB"/>
    <w:rsid w:val="00950B34"/>
    <w:rsid w:val="00981CF8"/>
    <w:rsid w:val="009946E1"/>
    <w:rsid w:val="00995981"/>
    <w:rsid w:val="009B7A8B"/>
    <w:rsid w:val="00A33B6F"/>
    <w:rsid w:val="00A557CB"/>
    <w:rsid w:val="00A71EA2"/>
    <w:rsid w:val="00A83F74"/>
    <w:rsid w:val="00A91BD1"/>
    <w:rsid w:val="00A934E6"/>
    <w:rsid w:val="00AA6780"/>
    <w:rsid w:val="00AE547E"/>
    <w:rsid w:val="00B209ED"/>
    <w:rsid w:val="00B53E58"/>
    <w:rsid w:val="00B77084"/>
    <w:rsid w:val="00C30806"/>
    <w:rsid w:val="00C470AE"/>
    <w:rsid w:val="00C71E11"/>
    <w:rsid w:val="00C826BC"/>
    <w:rsid w:val="00CB4411"/>
    <w:rsid w:val="00CE0B72"/>
    <w:rsid w:val="00DB25DA"/>
    <w:rsid w:val="00DC42C3"/>
    <w:rsid w:val="00DE3ACF"/>
    <w:rsid w:val="00E23B26"/>
    <w:rsid w:val="00E842F2"/>
    <w:rsid w:val="00E85AFF"/>
    <w:rsid w:val="00EB2683"/>
    <w:rsid w:val="00EB3598"/>
    <w:rsid w:val="00F44A98"/>
    <w:rsid w:val="00F60DD1"/>
    <w:rsid w:val="00F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44BE"/>
  <w15:docId w15:val="{E0DD871E-120A-4D1B-A63F-F037779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F185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185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 School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Ireland</dc:creator>
  <cp:lastModifiedBy>Katie Merik</cp:lastModifiedBy>
  <cp:revision>5</cp:revision>
  <cp:lastPrinted>2017-03-14T17:17:00Z</cp:lastPrinted>
  <dcterms:created xsi:type="dcterms:W3CDTF">2023-09-18T09:15:00Z</dcterms:created>
  <dcterms:modified xsi:type="dcterms:W3CDTF">2023-09-18T10:53:00Z</dcterms:modified>
</cp:coreProperties>
</file>